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right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</w:t>
      </w:r>
      <w:r/>
    </w:p>
    <w:p>
      <w:pPr>
        <w:jc w:val="center"/>
        <w:spacing w:before="200" w:after="4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ПРАВИТЕЛЬСТВО РОССИЙСКОЙ ФЕДЕРАЦИИ</w:t>
      </w:r>
      <w:r/>
    </w:p>
    <w:p>
      <w:pPr>
        <w:jc w:val="center"/>
        <w:spacing w:before="200" w:after="400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 xml:space="preserve">РАСПОРЯЖ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ЕНИЕ</w:t>
      </w:r>
      <w:r/>
    </w:p>
    <w:p>
      <w:pPr>
        <w:jc w:val="center"/>
        <w:spacing w:before="200" w:after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«____» __________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>
        <w:rPr>
          <w:rFonts w:ascii="Times New Roman" w:hAnsi="Times New Roman" w:cs="Times New Roman"/>
          <w:sz w:val="28"/>
          <w:szCs w:val="28"/>
        </w:rPr>
        <w:t xml:space="preserve">г. № ___</w:t>
      </w:r>
      <w:r/>
    </w:p>
    <w:p>
      <w:pPr>
        <w:jc w:val="center"/>
        <w:spacing w:before="200" w:after="4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</w:t>
      </w:r>
      <w:r/>
    </w:p>
    <w:p>
      <w:pPr>
        <w:ind w:right="284"/>
        <w:jc w:val="center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</w:t>
      </w:r>
      <w:r>
        <w:rPr>
          <w:rFonts w:ascii="Times New Roman" w:hAnsi="Times New Roman" w:cs="Times New Roman"/>
          <w:b/>
          <w:sz w:val="28"/>
          <w:szCs w:val="28"/>
        </w:rPr>
        <w:t xml:space="preserve">е</w:t>
      </w:r>
      <w:r>
        <w:rPr>
          <w:rFonts w:ascii="Times New Roman" w:hAnsi="Times New Roman" w:cs="Times New Roman"/>
          <w:b/>
          <w:sz w:val="28"/>
          <w:szCs w:val="28"/>
        </w:rPr>
        <w:t xml:space="preserve"> нарушений требований к обращению побочных продуктов животноводства, в результате которых побочные продукты животноводства признаются отходами</w:t>
      </w:r>
      <w:r/>
    </w:p>
    <w:p>
      <w:pPr>
        <w:ind w:left="113" w:right="284" w:firstLine="709"/>
        <w:jc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left="113" w:right="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частью 6 </w:t>
      </w:r>
      <w:r>
        <w:rPr>
          <w:rFonts w:ascii="Times New Roman" w:hAnsi="Times New Roman" w:cs="Times New Roman"/>
          <w:sz w:val="28"/>
          <w:szCs w:val="28"/>
        </w:rPr>
        <w:t xml:space="preserve">стать</w:t>
      </w:r>
      <w:r>
        <w:rPr>
          <w:rFonts w:ascii="Times New Roman" w:hAnsi="Times New Roman" w:cs="Times New Roman"/>
          <w:sz w:val="28"/>
          <w:szCs w:val="28"/>
        </w:rPr>
        <w:t xml:space="preserve"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 побочных продуктах животноводства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2022, № __, ст. ____)</w:t>
      </w:r>
      <w:r>
        <w:rPr>
          <w:rFonts w:ascii="Times New Roman" w:hAnsi="Times New Roman" w:cs="Times New Roman"/>
          <w:sz w:val="28"/>
          <w:szCs w:val="28"/>
        </w:rPr>
        <w:t xml:space="preserve">:</w:t>
      </w:r>
      <w:r/>
    </w:p>
    <w:p>
      <w:pPr>
        <w:ind w:left="113" w:right="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переч</w:t>
      </w:r>
      <w:r>
        <w:rPr>
          <w:rFonts w:ascii="Times New Roman" w:hAnsi="Times New Roman" w:cs="Times New Roman"/>
          <w:sz w:val="28"/>
          <w:szCs w:val="28"/>
        </w:rPr>
        <w:t xml:space="preserve">ень</w:t>
      </w:r>
      <w:r>
        <w:rPr>
          <w:rFonts w:ascii="Times New Roman" w:hAnsi="Times New Roman" w:cs="Times New Roman"/>
          <w:sz w:val="28"/>
          <w:szCs w:val="28"/>
        </w:rPr>
        <w:t xml:space="preserve"> нарушений требований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обращению побочных продуктов животноводства, в результате которых побочные продукты животноводства признаются отходами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113" w:right="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</w:t>
      </w:r>
      <w:r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</w:t>
      </w:r>
      <w:r>
        <w:rPr>
          <w:rFonts w:ascii="Times New Roman" w:hAnsi="Times New Roman" w:cs="Times New Roman"/>
          <w:sz w:val="28"/>
          <w:szCs w:val="28"/>
        </w:rPr>
        <w:t xml:space="preserve">ение вступает в силу с </w:t>
      </w:r>
      <w:r>
        <w:rPr>
          <w:rFonts w:ascii="Times New Roman" w:hAnsi="Times New Roman" w:cs="Times New Roman"/>
          <w:sz w:val="28"/>
          <w:szCs w:val="28"/>
        </w:rPr>
        <w:t xml:space="preserve">1 марта 2023 года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left="113" w:right="284" w:firstLine="709"/>
        <w:jc w:val="both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/>
    </w:p>
    <w:p>
      <w:pPr>
        <w:ind w:left="113" w:right="284" w:firstLine="709"/>
        <w:jc w:val="both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142"/>
        <w:jc w:val="both"/>
        <w:spacing w:after="0" w:line="240" w:lineRule="auto"/>
        <w:tabs>
          <w:tab w:val="center" w:pos="1758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Председатель Правительства</w:t>
      </w:r>
      <w:r/>
    </w:p>
    <w:p>
      <w:pPr>
        <w:ind w:right="282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   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Российской Федерации</w:t>
      </w:r>
      <w:r>
        <w:rPr>
          <w:rFonts w:ascii="Times New Roman" w:hAnsi="Times New Roman" w:cs="Times New Roman" w:eastAsia="Times New Roman"/>
          <w:sz w:val="28"/>
          <w:szCs w:val="20"/>
        </w:rPr>
        <w:tab/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М.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 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Мишустин</w:t>
      </w:r>
      <w:r/>
    </w:p>
    <w:p>
      <w:pPr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br w:type="page"/>
      </w:r>
      <w:r/>
    </w:p>
    <w:p>
      <w:pPr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left="5529"/>
        <w:jc w:val="right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Утвержден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распоряж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ением Правительства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Российской Федерации</w:t>
      </w:r>
      <w:r/>
    </w:p>
    <w:p>
      <w:pPr>
        <w:jc w:val="right"/>
        <w:spacing w:after="0" w:line="240" w:lineRule="auto"/>
        <w:widowControl w:val="off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от _________ 2022 г. № ____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-р</w:t>
      </w:r>
      <w:r/>
    </w:p>
    <w:p>
      <w:pPr>
        <w:ind w:left="113" w:right="284" w:firstLine="709"/>
        <w:jc w:val="right"/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0"/>
        </w:rPr>
      </w:pPr>
      <w:r>
        <w:rPr>
          <w:rFonts w:ascii="Times New Roman" w:hAnsi="Times New Roman" w:cs="Times New Roman" w:eastAsia="Times New Roman"/>
          <w:b/>
          <w:sz w:val="28"/>
          <w:szCs w:val="20"/>
        </w:rPr>
        <w:t xml:space="preserve">ПЕРЕЧЕНЬ</w:t>
      </w:r>
      <w:r>
        <w:rPr>
          <w:rFonts w:ascii="Times New Roman" w:hAnsi="Times New Roman" w:cs="Times New Roman" w:eastAsia="Times New Roman"/>
          <w:b/>
          <w:sz w:val="28"/>
          <w:szCs w:val="20"/>
        </w:rPr>
        <w:t xml:space="preserve"> </w:t>
      </w:r>
      <w:r/>
    </w:p>
    <w:p>
      <w:pPr>
        <w:jc w:val="center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b/>
          <w:sz w:val="28"/>
          <w:szCs w:val="20"/>
        </w:rPr>
      </w:pPr>
      <w:r>
        <w:rPr>
          <w:rFonts w:ascii="Times New Roman" w:hAnsi="Times New Roman" w:cs="Times New Roman" w:eastAsia="Times New Roman"/>
          <w:b/>
          <w:sz w:val="28"/>
          <w:szCs w:val="20"/>
        </w:rPr>
        <w:t xml:space="preserve">нарушений требований к обращению побочных продуктов животноводства, в результате которых побочные продукты животноводства признаются отходами</w:t>
      </w:r>
      <w:r/>
    </w:p>
    <w:p>
      <w:pPr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1.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Хране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ние не обработанных, не переработанных побочных продуктов животноводства вне специализированных площадок.</w:t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2. Использование для обеспечения воспроизводства плодородия земель сельскохозяйственного назначения не обработанных, не переработанных побочных продуктов животноводства.</w:t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3. Передача не обработанных, не переработанных побочных продуктов животноводства лицам, не осуществляющим деятельность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по производству сельскохозяйственной продукции.</w:t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>
        <w:rPr>
          <w:rFonts w:ascii="Times New Roman" w:hAnsi="Times New Roman" w:cs="Times New Roman" w:eastAsia="Times New Roman"/>
          <w:sz w:val="28"/>
          <w:szCs w:val="20"/>
        </w:rPr>
        <w:t xml:space="preserve">4. Применение для обращения с побочными продуктами животноводства специализирован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ных площадок,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не обеспечивающих 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предотвращ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ение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фильтраци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 жидкой фракции побочных продуктов животноводства</w:t>
      </w:r>
      <w:r>
        <w:rPr>
          <w:rFonts w:ascii="Times New Roman" w:hAnsi="Times New Roman" w:cs="Times New Roman" w:eastAsia="Times New Roman"/>
          <w:sz w:val="28"/>
          <w:szCs w:val="20"/>
        </w:rPr>
        <w:br/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в водоносные горизонты</w:t>
      </w:r>
      <w:r>
        <w:rPr>
          <w:rFonts w:ascii="Times New Roman" w:hAnsi="Times New Roman" w:cs="Times New Roman" w:eastAsia="Times New Roman"/>
          <w:sz w:val="28"/>
          <w:szCs w:val="20"/>
        </w:rPr>
        <w:t xml:space="preserve">.</w:t>
      </w:r>
      <w:r/>
    </w:p>
    <w:p>
      <w:pPr>
        <w:ind w:firstLine="567"/>
        <w:jc w:val="both"/>
        <w:spacing w:after="0" w:line="240" w:lineRule="auto"/>
        <w:tabs>
          <w:tab w:val="center" w:pos="1758" w:leader="none"/>
          <w:tab w:val="left" w:pos="7230" w:leader="none"/>
        </w:tabs>
        <w:rPr>
          <w:rFonts w:ascii="Times New Roman" w:hAnsi="Times New Roman" w:cs="Times New Roman" w:eastAsia="Times New Roman"/>
          <w:sz w:val="28"/>
          <w:szCs w:val="20"/>
        </w:rPr>
      </w:pPr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5" w:h="16838" w:orient="portrait"/>
      <w:pgMar w:top="1134" w:right="850" w:bottom="1134" w:left="1701" w:header="397" w:footer="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50603060203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816690879"/>
      <w:docPartObj>
        <w:docPartGallery w:val="Page Numbers (Top of Page)"/>
        <w:docPartUnique w:val="true"/>
      </w:docPartObj>
      <w:rPr/>
    </w:sdtPr>
    <w:sdtContent>
      <w:p>
        <w:pPr>
          <w:pStyle w:val="733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 xml:space="preserve"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  <w:r/>
      </w:p>
    </w:sdtContent>
  </w:sdt>
  <w:p>
    <w:pPr>
      <w:pStyle w:val="733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277" w:firstLine="0"/>
      </w:pPr>
      <w:rPr>
        <w:rFonts w:hint="default"/>
      </w:rPr>
    </w:lvl>
    <w:lvl w:ilvl="3">
      <w:start w:val="1"/>
      <w:numFmt w:val="lowerLetter"/>
      <w:isLgl w:val="false"/>
      <w:suff w:val="tab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isLgl w:val="false"/>
      <w:suff w:val="tab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isLgl w:val="false"/>
      <w:suff w:val="tab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isLgl w:val="false"/>
      <w:suff w:val="tab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isLgl w:val="false"/>
      <w:suff w:val="tab"/>
      <w:lvlText w:val="(%9)"/>
      <w:lvlJc w:val="left"/>
      <w:pPr>
        <w:ind w:left="5760" w:firstLine="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0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)"/>
      <w:lvlJc w:val="left"/>
      <w:pPr>
        <w:ind w:left="720" w:hanging="360"/>
      </w:p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9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1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3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5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7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9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1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3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isLgl w:val="false"/>
      <w:suff w:val="tab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isLgl w:val="false"/>
      <w:suff w:val="tab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isLgl w:val="false"/>
      <w:suff w:val="tab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isLgl w:val="false"/>
      <w:suff w:val="tab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isLgl w:val="false"/>
      <w:suff w:val="tab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</w:p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33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553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73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93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713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433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53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73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93" w:hanging="180"/>
      </w:pPr>
    </w:lvl>
  </w:abstractNum>
  <w:abstractNum w:abstractNumId="11">
    <w:multiLevelType w:val="hybridMultilevel"/>
    <w:lvl w:ilvl="0">
      <w:start w:val="1"/>
      <w:numFmt w:val="upperRoman"/>
      <w:pStyle w:val="705"/>
      <w:isLgl w:val="false"/>
      <w:suff w:val="tab"/>
      <w:lvlText w:val="%1."/>
      <w:lvlJc w:val="right"/>
      <w:pPr>
        <w:ind w:left="0" w:firstLine="0"/>
      </w:pPr>
    </w:lvl>
    <w:lvl w:ilvl="1">
      <w:start w:val="1"/>
      <w:numFmt w:val="upperLetter"/>
      <w:pStyle w:val="706"/>
      <w:isLgl w:val="false"/>
      <w:suff w:val="tab"/>
      <w:lvlText w:val="%2."/>
      <w:lvlJc w:val="left"/>
      <w:pPr>
        <w:ind w:left="720" w:firstLine="0"/>
      </w:pPr>
    </w:lvl>
    <w:lvl w:ilvl="2">
      <w:start w:val="1"/>
      <w:numFmt w:val="decimal"/>
      <w:pStyle w:val="707"/>
      <w:isLgl w:val="false"/>
      <w:suff w:val="tab"/>
      <w:lvlText w:val="%3."/>
      <w:lvlJc w:val="left"/>
      <w:pPr>
        <w:ind w:left="3686" w:firstLine="0"/>
      </w:pPr>
      <w:rPr>
        <w:rFonts w:ascii="Times New Roman" w:hAnsi="Times New Roman" w:cs="Times New Roman" w:eastAsiaTheme="minorHAnsi"/>
      </w:rPr>
    </w:lvl>
    <w:lvl w:ilvl="3">
      <w:start w:val="1"/>
      <w:numFmt w:val="lowerLetter"/>
      <w:pStyle w:val="708"/>
      <w:isLgl w:val="false"/>
      <w:suff w:val="tab"/>
      <w:lvlText w:val="%4)"/>
      <w:lvlJc w:val="left"/>
      <w:pPr>
        <w:ind w:left="2160" w:firstLine="0"/>
      </w:pPr>
    </w:lvl>
    <w:lvl w:ilvl="4">
      <w:start w:val="1"/>
      <w:numFmt w:val="decimal"/>
      <w:pStyle w:val="709"/>
      <w:isLgl w:val="false"/>
      <w:suff w:val="tab"/>
      <w:lvlText w:val="(%5)"/>
      <w:lvlJc w:val="left"/>
      <w:pPr>
        <w:ind w:left="2880" w:firstLine="0"/>
      </w:pPr>
    </w:lvl>
    <w:lvl w:ilvl="5">
      <w:start w:val="1"/>
      <w:numFmt w:val="lowerLetter"/>
      <w:pStyle w:val="710"/>
      <w:isLgl w:val="false"/>
      <w:suff w:val="tab"/>
      <w:lvlText w:val="(%6)"/>
      <w:lvlJc w:val="left"/>
      <w:pPr>
        <w:ind w:left="3600" w:firstLine="0"/>
      </w:pPr>
    </w:lvl>
    <w:lvl w:ilvl="6">
      <w:start w:val="1"/>
      <w:numFmt w:val="lowerRoman"/>
      <w:pStyle w:val="711"/>
      <w:isLgl w:val="false"/>
      <w:suff w:val="tab"/>
      <w:lvlText w:val="(%7)"/>
      <w:lvlJc w:val="left"/>
      <w:pPr>
        <w:ind w:left="4320" w:firstLine="0"/>
      </w:pPr>
    </w:lvl>
    <w:lvl w:ilvl="7">
      <w:start w:val="1"/>
      <w:numFmt w:val="lowerLetter"/>
      <w:pStyle w:val="712"/>
      <w:isLgl w:val="false"/>
      <w:suff w:val="tab"/>
      <w:lvlText w:val="(%8)"/>
      <w:lvlJc w:val="left"/>
      <w:pPr>
        <w:ind w:left="5040" w:firstLine="0"/>
      </w:pPr>
    </w:lvl>
    <w:lvl w:ilvl="8">
      <w:start w:val="1"/>
      <w:numFmt w:val="lowerRoman"/>
      <w:pStyle w:val="713"/>
      <w:isLgl w:val="false"/>
      <w:suff w:val="tab"/>
      <w:lvlText w:val="(%9)"/>
      <w:lvlJc w:val="left"/>
      <w:pPr>
        <w:ind w:left="5760" w:firstLine="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2" w:hanging="180"/>
      </w:pPr>
    </w:lvl>
  </w:abstractNum>
  <w:abstractNum w:abstractNumId="13">
    <w:multiLevelType w:val="hybridMultilevel"/>
    <w:lvl w:ilvl="0">
      <w:start w:val="6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172" w:hanging="135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90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62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34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06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78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0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22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942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2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42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262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982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702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422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142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862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582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302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isLgl w:val="false"/>
      <w:suff w:val="tab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isLgl w:val="false"/>
      <w:suff w:val="tab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isLgl w:val="false"/>
      <w:suff w:val="tab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isLgl w:val="false"/>
      <w:suff w:val="tab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isLgl w:val="false"/>
      <w:suff w:val="tab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isLgl w:val="false"/>
      <w:suff w:val="tab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isLgl w:val="false"/>
      <w:suff w:val="tab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0" w:firstLine="0"/>
      </w:pPr>
      <w:rPr>
        <w:rFonts w:hint="default"/>
      </w:rPr>
    </w:lvl>
    <w:lvl w:ilvl="1">
      <w:start w:val="3"/>
      <w:numFmt w:val="decimal"/>
      <w:isLgl w:val="false"/>
      <w:suff w:val="tab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isLgl w:val="false"/>
      <w:suff w:val="tab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isLgl w:val="false"/>
      <w:suff w:val="tab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isLgl w:val="false"/>
      <w:suff w:val="tab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isLgl w:val="false"/>
      <w:suff w:val="tab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isLgl w:val="false"/>
      <w:suff w:val="tab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isLgl w:val="false"/>
      <w:suff w:val="tab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isLgl w:val="false"/>
      <w:suff w:val="tab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6"/>
  </w:num>
  <w:num w:numId="5">
    <w:abstractNumId w:val="15"/>
  </w:num>
  <w:num w:numId="6">
    <w:abstractNumId w:val="19"/>
  </w:num>
  <w:num w:numId="7">
    <w:abstractNumId w:val="12"/>
  </w:num>
  <w:num w:numId="8">
    <w:abstractNumId w:val="11"/>
  </w:num>
  <w:num w:numId="9">
    <w:abstractNumId w:val="0"/>
  </w:num>
  <w:num w:numId="10">
    <w:abstractNumId w:val="20"/>
  </w:num>
  <w:num w:numId="11">
    <w:abstractNumId w:val="5"/>
  </w:num>
  <w:num w:numId="12">
    <w:abstractNumId w:val="22"/>
  </w:num>
  <w:num w:numId="13">
    <w:abstractNumId w:val="2"/>
  </w:num>
  <w:num w:numId="14">
    <w:abstractNumId w:val="21"/>
  </w:num>
  <w:num w:numId="15">
    <w:abstractNumId w:val="17"/>
  </w:num>
  <w:num w:numId="16">
    <w:abstractNumId w:val="14"/>
  </w:num>
  <w:num w:numId="17">
    <w:abstractNumId w:val="18"/>
  </w:num>
  <w:num w:numId="18">
    <w:abstractNumId w:val="7"/>
  </w:num>
  <w:num w:numId="19">
    <w:abstractNumId w:val="8"/>
  </w:num>
  <w:num w:numId="20">
    <w:abstractNumId w:val="13"/>
  </w:num>
  <w:num w:numId="21">
    <w:abstractNumId w:val="9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14"/>
    <w:link w:val="70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14"/>
    <w:link w:val="70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14"/>
    <w:link w:val="70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14"/>
    <w:link w:val="70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14"/>
    <w:link w:val="70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14"/>
    <w:link w:val="710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14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14"/>
    <w:link w:val="712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14"/>
    <w:link w:val="713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paragraph" w:styleId="32">
    <w:name w:val="Title"/>
    <w:basedOn w:val="704"/>
    <w:next w:val="704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714"/>
    <w:link w:val="32"/>
    <w:uiPriority w:val="10"/>
    <w:rPr>
      <w:sz w:val="48"/>
      <w:szCs w:val="48"/>
    </w:rPr>
  </w:style>
  <w:style w:type="paragraph" w:styleId="34">
    <w:name w:val="Subtitle"/>
    <w:basedOn w:val="704"/>
    <w:next w:val="704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714"/>
    <w:link w:val="34"/>
    <w:uiPriority w:val="11"/>
    <w:rPr>
      <w:sz w:val="24"/>
      <w:szCs w:val="24"/>
    </w:rPr>
  </w:style>
  <w:style w:type="paragraph" w:styleId="36">
    <w:name w:val="Quote"/>
    <w:basedOn w:val="704"/>
    <w:next w:val="70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04"/>
    <w:next w:val="70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714"/>
    <w:link w:val="733"/>
    <w:uiPriority w:val="99"/>
  </w:style>
  <w:style w:type="character" w:styleId="43">
    <w:name w:val="Footer Char"/>
    <w:basedOn w:val="714"/>
    <w:link w:val="735"/>
    <w:uiPriority w:val="99"/>
  </w:style>
  <w:style w:type="paragraph" w:styleId="44">
    <w:name w:val="Caption"/>
    <w:basedOn w:val="704"/>
    <w:next w:val="70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735"/>
    <w:uiPriority w:val="99"/>
  </w:style>
  <w:style w:type="table" w:styleId="46">
    <w:name w:val="Table Grid"/>
    <w:basedOn w:val="7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7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7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7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7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0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714"/>
    <w:uiPriority w:val="99"/>
    <w:unhideWhenUsed/>
    <w:rPr>
      <w:vertAlign w:val="superscript"/>
    </w:rPr>
  </w:style>
  <w:style w:type="paragraph" w:styleId="176">
    <w:name w:val="endnote text"/>
    <w:basedOn w:val="70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714"/>
    <w:uiPriority w:val="99"/>
    <w:semiHidden/>
    <w:unhideWhenUsed/>
    <w:rPr>
      <w:vertAlign w:val="superscript"/>
    </w:rPr>
  </w:style>
  <w:style w:type="paragraph" w:styleId="179">
    <w:name w:val="toc 1"/>
    <w:basedOn w:val="704"/>
    <w:next w:val="70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04"/>
    <w:next w:val="70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04"/>
    <w:next w:val="70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04"/>
    <w:next w:val="70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04"/>
    <w:next w:val="70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04"/>
    <w:next w:val="70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04"/>
    <w:next w:val="70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04"/>
    <w:next w:val="70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04"/>
    <w:next w:val="70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04"/>
    <w:next w:val="704"/>
    <w:uiPriority w:val="99"/>
    <w:unhideWhenUsed/>
    <w:pPr>
      <w:spacing w:after="0" w:afterAutospacing="0"/>
    </w:pPr>
  </w:style>
  <w:style w:type="paragraph" w:styleId="704" w:default="1">
    <w:name w:val="Normal"/>
    <w:qFormat/>
  </w:style>
  <w:style w:type="paragraph" w:styleId="705">
    <w:name w:val="Heading 1"/>
    <w:basedOn w:val="704"/>
    <w:next w:val="704"/>
    <w:link w:val="718"/>
    <w:uiPriority w:val="9"/>
    <w:qFormat/>
    <w:pPr>
      <w:numPr>
        <w:numId w:val="8"/>
      </w:numPr>
      <w:keepLines/>
      <w:keepNext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706">
    <w:name w:val="Heading 2"/>
    <w:basedOn w:val="704"/>
    <w:next w:val="704"/>
    <w:link w:val="719"/>
    <w:uiPriority w:val="9"/>
    <w:semiHidden/>
    <w:unhideWhenUsed/>
    <w:qFormat/>
    <w:pPr>
      <w:numPr>
        <w:ilvl w:val="1"/>
        <w:numId w:val="8"/>
      </w:num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707">
    <w:name w:val="Heading 3"/>
    <w:basedOn w:val="704"/>
    <w:next w:val="704"/>
    <w:link w:val="720"/>
    <w:uiPriority w:val="9"/>
    <w:unhideWhenUsed/>
    <w:qFormat/>
    <w:pPr>
      <w:numPr>
        <w:ilvl w:val="2"/>
        <w:numId w:val="8"/>
      </w:numPr>
      <w:ind w:left="1440"/>
      <w:keepLines/>
      <w:keepNext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708">
    <w:name w:val="Heading 4"/>
    <w:basedOn w:val="704"/>
    <w:next w:val="704"/>
    <w:link w:val="721"/>
    <w:uiPriority w:val="9"/>
    <w:semiHidden/>
    <w:unhideWhenUsed/>
    <w:qFormat/>
    <w:pPr>
      <w:numPr>
        <w:ilvl w:val="3"/>
        <w:numId w:val="8"/>
      </w:numPr>
      <w:keepLines/>
      <w:keepNext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709">
    <w:name w:val="Heading 5"/>
    <w:basedOn w:val="704"/>
    <w:next w:val="704"/>
    <w:link w:val="722"/>
    <w:uiPriority w:val="9"/>
    <w:semiHidden/>
    <w:unhideWhenUsed/>
    <w:qFormat/>
    <w:pPr>
      <w:numPr>
        <w:ilvl w:val="4"/>
        <w:numId w:val="8"/>
      </w:numPr>
      <w:keepLines/>
      <w:keepNext/>
      <w:spacing w:before="200" w:after="0"/>
      <w:outlineLvl w:val="4"/>
    </w:pPr>
    <w:rPr>
      <w:rFonts w:asciiTheme="majorHAnsi" w:hAnsiTheme="majorHAnsi" w:eastAsiaTheme="majorEastAsia" w:cstheme="majorBidi"/>
      <w:color w:val="243F60" w:themeColor="accent1" w:themeShade="7F"/>
    </w:rPr>
  </w:style>
  <w:style w:type="paragraph" w:styleId="710">
    <w:name w:val="Heading 6"/>
    <w:basedOn w:val="704"/>
    <w:next w:val="704"/>
    <w:link w:val="723"/>
    <w:uiPriority w:val="9"/>
    <w:semiHidden/>
    <w:unhideWhenUsed/>
    <w:qFormat/>
    <w:pPr>
      <w:numPr>
        <w:ilvl w:val="5"/>
        <w:numId w:val="8"/>
      </w:numPr>
      <w:keepLines/>
      <w:keepNext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711">
    <w:name w:val="Heading 7"/>
    <w:basedOn w:val="704"/>
    <w:next w:val="704"/>
    <w:link w:val="724"/>
    <w:uiPriority w:val="9"/>
    <w:semiHidden/>
    <w:unhideWhenUsed/>
    <w:qFormat/>
    <w:pPr>
      <w:numPr>
        <w:ilvl w:val="6"/>
        <w:numId w:val="8"/>
      </w:numPr>
      <w:keepLines/>
      <w:keepNext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712">
    <w:name w:val="Heading 8"/>
    <w:basedOn w:val="704"/>
    <w:next w:val="704"/>
    <w:link w:val="725"/>
    <w:uiPriority w:val="9"/>
    <w:semiHidden/>
    <w:unhideWhenUsed/>
    <w:qFormat/>
    <w:pPr>
      <w:numPr>
        <w:ilvl w:val="7"/>
        <w:numId w:val="8"/>
      </w:numPr>
      <w:keepLines/>
      <w:keepNext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713">
    <w:name w:val="Heading 9"/>
    <w:basedOn w:val="704"/>
    <w:next w:val="704"/>
    <w:link w:val="726"/>
    <w:uiPriority w:val="9"/>
    <w:semiHidden/>
    <w:unhideWhenUsed/>
    <w:qFormat/>
    <w:pPr>
      <w:numPr>
        <w:ilvl w:val="8"/>
        <w:numId w:val="8"/>
      </w:numPr>
      <w:keepLines/>
      <w:keepNext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714" w:default="1">
    <w:name w:val="Default Paragraph Font"/>
    <w:uiPriority w:val="1"/>
    <w:semiHidden/>
    <w:unhideWhenUsed/>
  </w:style>
  <w:style w:type="table" w:styleId="7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6" w:default="1">
    <w:name w:val="No List"/>
    <w:uiPriority w:val="99"/>
    <w:semiHidden/>
    <w:unhideWhenUsed/>
  </w:style>
  <w:style w:type="paragraph" w:styleId="717">
    <w:name w:val="List Paragraph"/>
    <w:basedOn w:val="704"/>
    <w:uiPriority w:val="34"/>
    <w:qFormat/>
    <w:pPr>
      <w:contextualSpacing/>
      <w:ind w:left="720"/>
    </w:pPr>
  </w:style>
  <w:style w:type="character" w:styleId="718" w:customStyle="1">
    <w:name w:val="Заголовок 1 Знак"/>
    <w:basedOn w:val="714"/>
    <w:link w:val="705"/>
    <w:uiPriority w:val="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719" w:customStyle="1">
    <w:name w:val="Заголовок 2 Знак"/>
    <w:basedOn w:val="714"/>
    <w:link w:val="706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720" w:customStyle="1">
    <w:name w:val="Заголовок 3 Знак"/>
    <w:basedOn w:val="714"/>
    <w:link w:val="707"/>
    <w:uiPriority w:val="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721" w:customStyle="1">
    <w:name w:val="Заголовок 4 Знак"/>
    <w:basedOn w:val="714"/>
    <w:link w:val="708"/>
    <w:uiPriority w:val="9"/>
    <w:semiHidden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722" w:customStyle="1">
    <w:name w:val="Заголовок 5 Знак"/>
    <w:basedOn w:val="714"/>
    <w:link w:val="709"/>
    <w:uiPriority w:val="9"/>
    <w:semiHidden/>
    <w:rPr>
      <w:rFonts w:asciiTheme="majorHAnsi" w:hAnsiTheme="majorHAnsi" w:eastAsiaTheme="majorEastAsia" w:cstheme="majorBidi"/>
      <w:color w:val="243F60" w:themeColor="accent1" w:themeShade="7F"/>
    </w:rPr>
  </w:style>
  <w:style w:type="character" w:styleId="723" w:customStyle="1">
    <w:name w:val="Заголовок 6 Знак"/>
    <w:basedOn w:val="714"/>
    <w:link w:val="710"/>
    <w:uiPriority w:val="9"/>
    <w:semiHidden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724" w:customStyle="1">
    <w:name w:val="Заголовок 7 Знак"/>
    <w:basedOn w:val="714"/>
    <w:link w:val="711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725" w:customStyle="1">
    <w:name w:val="Заголовок 8 Знак"/>
    <w:basedOn w:val="714"/>
    <w:link w:val="712"/>
    <w:uiPriority w:val="9"/>
    <w:semiHidden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726" w:customStyle="1">
    <w:name w:val="Заголовок 9 Знак"/>
    <w:basedOn w:val="714"/>
    <w:link w:val="713"/>
    <w:uiPriority w:val="9"/>
    <w:semiHidden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paragraph" w:styleId="727" w:customStyle="1">
    <w:name w:val="ConsPlusNormal"/>
    <w:pPr>
      <w:spacing w:after="0" w:line="240" w:lineRule="auto"/>
      <w:widowControl w:val="off"/>
    </w:pPr>
    <w:rPr>
      <w:rFonts w:ascii="Arial" w:hAnsi="Arial" w:cs="Arial" w:eastAsia="Times New Roman"/>
      <w:sz w:val="20"/>
      <w:szCs w:val="20"/>
      <w:lang w:eastAsia="ru-RU"/>
    </w:rPr>
  </w:style>
  <w:style w:type="numbering" w:styleId="728" w:customStyle="1">
    <w:name w:val="Нет списка1"/>
    <w:next w:val="716"/>
    <w:uiPriority w:val="99"/>
    <w:semiHidden/>
    <w:unhideWhenUsed/>
  </w:style>
  <w:style w:type="paragraph" w:styleId="729" w:customStyle="1">
    <w:name w:val="ConsPlusTitlePage"/>
    <w:pPr>
      <w:spacing w:after="0" w:line="240" w:lineRule="auto"/>
      <w:widowControl w:val="off"/>
    </w:pPr>
    <w:rPr>
      <w:rFonts w:ascii="Tahoma" w:hAnsi="Tahoma" w:cs="Tahoma" w:eastAsia="Times New Roman"/>
      <w:sz w:val="20"/>
      <w:szCs w:val="20"/>
      <w:lang w:eastAsia="ru-RU"/>
    </w:rPr>
  </w:style>
  <w:style w:type="paragraph" w:styleId="730" w:customStyle="1">
    <w:name w:val="ConsPlusTitle"/>
    <w:pPr>
      <w:spacing w:after="0" w:line="240" w:lineRule="auto"/>
      <w:widowControl w:val="off"/>
    </w:pPr>
    <w:rPr>
      <w:rFonts w:ascii="Arial" w:hAnsi="Arial" w:cs="Arial" w:eastAsia="Times New Roman"/>
      <w:b/>
      <w:sz w:val="20"/>
      <w:szCs w:val="20"/>
      <w:lang w:eastAsia="ru-RU"/>
    </w:rPr>
  </w:style>
  <w:style w:type="paragraph" w:styleId="731">
    <w:name w:val="Balloon Text"/>
    <w:basedOn w:val="704"/>
    <w:link w:val="732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32" w:customStyle="1">
    <w:name w:val="Текст выноски Знак"/>
    <w:basedOn w:val="714"/>
    <w:link w:val="731"/>
    <w:uiPriority w:val="99"/>
    <w:semiHidden/>
    <w:rPr>
      <w:rFonts w:ascii="Tahoma" w:hAnsi="Tahoma" w:cs="Tahoma"/>
      <w:sz w:val="16"/>
      <w:szCs w:val="16"/>
    </w:rPr>
  </w:style>
  <w:style w:type="paragraph" w:styleId="733">
    <w:name w:val="Header"/>
    <w:basedOn w:val="704"/>
    <w:link w:val="734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4" w:customStyle="1">
    <w:name w:val="Верхний колонтитул Знак"/>
    <w:basedOn w:val="714"/>
    <w:link w:val="733"/>
    <w:uiPriority w:val="99"/>
  </w:style>
  <w:style w:type="paragraph" w:styleId="735">
    <w:name w:val="Footer"/>
    <w:basedOn w:val="704"/>
    <w:link w:val="736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36" w:customStyle="1">
    <w:name w:val="Нижний колонтитул Знак"/>
    <w:basedOn w:val="714"/>
    <w:link w:val="735"/>
    <w:uiPriority w:val="99"/>
  </w:style>
  <w:style w:type="character" w:styleId="737">
    <w:name w:val="annotation reference"/>
    <w:basedOn w:val="714"/>
    <w:uiPriority w:val="99"/>
    <w:semiHidden/>
    <w:unhideWhenUsed/>
    <w:rPr>
      <w:sz w:val="16"/>
      <w:szCs w:val="16"/>
    </w:rPr>
  </w:style>
  <w:style w:type="paragraph" w:styleId="738">
    <w:name w:val="annotation text"/>
    <w:basedOn w:val="704"/>
    <w:link w:val="739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739" w:customStyle="1">
    <w:name w:val="Текст примечания Знак"/>
    <w:basedOn w:val="714"/>
    <w:link w:val="738"/>
    <w:uiPriority w:val="99"/>
    <w:semiHidden/>
    <w:rPr>
      <w:sz w:val="20"/>
      <w:szCs w:val="20"/>
    </w:rPr>
  </w:style>
  <w:style w:type="paragraph" w:styleId="740">
    <w:name w:val="annotation subject"/>
    <w:basedOn w:val="738"/>
    <w:next w:val="738"/>
    <w:link w:val="741"/>
    <w:uiPriority w:val="99"/>
    <w:semiHidden/>
    <w:unhideWhenUsed/>
    <w:rPr>
      <w:b/>
      <w:bCs/>
    </w:rPr>
  </w:style>
  <w:style w:type="character" w:styleId="741" w:customStyle="1">
    <w:name w:val="Тема примечания Знак"/>
    <w:basedOn w:val="739"/>
    <w:link w:val="740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3CDECD91-E78E-4BD7-808F-A63E76953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Мазурова Анна Алексеева</dc:creator>
  <cp:keywords/>
  <dc:description/>
  <cp:lastModifiedBy>Анна Иглицына</cp:lastModifiedBy>
  <cp:revision>4</cp:revision>
  <dcterms:created xsi:type="dcterms:W3CDTF">2022-07-13T07:51:00Z</dcterms:created>
  <dcterms:modified xsi:type="dcterms:W3CDTF">2022-07-14T10:20:57Z</dcterms:modified>
</cp:coreProperties>
</file>