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</w:t>
      </w:r>
      <w:r/>
    </w:p>
    <w:p>
      <w:pPr>
        <w:jc w:val="center"/>
        <w:spacing w:before="200" w:after="4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ПРАВИТЕЛЬСТВО РОССИЙСКОЙ ФЕДЕРАЦИИ</w:t>
      </w:r>
      <w:r/>
    </w:p>
    <w:p>
      <w:pPr>
        <w:jc w:val="center"/>
        <w:spacing w:before="200" w:after="400" w:line="276" w:lineRule="auto"/>
        <w:rPr>
          <w:rFonts w:eastAsiaTheme="minorHAnsi"/>
          <w:spacing w:val="38"/>
          <w:sz w:val="28"/>
          <w:szCs w:val="28"/>
          <w:lang w:eastAsia="en-US"/>
        </w:rPr>
      </w:pPr>
      <w:r>
        <w:rPr>
          <w:rFonts w:eastAsiaTheme="minorHAnsi"/>
          <w:spacing w:val="38"/>
          <w:sz w:val="28"/>
          <w:szCs w:val="28"/>
          <w:lang w:eastAsia="en-US"/>
        </w:rPr>
        <w:t xml:space="preserve">ПОСТАНОВЛЕНИЕ</w:t>
      </w:r>
      <w:r/>
    </w:p>
    <w:p>
      <w:pPr>
        <w:jc w:val="center"/>
        <w:spacing w:before="200" w:after="4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«____» __________ 2022 г. № ___</w:t>
      </w:r>
      <w:r/>
    </w:p>
    <w:p>
      <w:pPr>
        <w:jc w:val="center"/>
        <w:spacing w:before="200" w:after="4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МОСКВА</w:t>
      </w:r>
      <w:r/>
    </w:p>
    <w:p>
      <w:pPr>
        <w:ind w:right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требований к обращению побочных продуктов животноводства</w:t>
      </w:r>
      <w:r/>
    </w:p>
    <w:p>
      <w:pPr>
        <w:ind w:left="113" w:right="284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left="113" w:righ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4 и частью </w:t>
      </w:r>
      <w:r>
        <w:rPr>
          <w:rFonts w:eastAsiaTheme="minorHAnsi"/>
          <w:sz w:val="28"/>
          <w:szCs w:val="28"/>
          <w:lang w:eastAsia="en-US"/>
        </w:rPr>
        <w:t xml:space="preserve">6</w:t>
      </w:r>
      <w:r>
        <w:rPr>
          <w:rFonts w:eastAsiaTheme="minorHAnsi"/>
          <w:sz w:val="28"/>
          <w:szCs w:val="28"/>
          <w:lang w:eastAsia="en-US"/>
        </w:rPr>
        <w:t xml:space="preserve"> статьи 7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______________ г. № ____-ФЗ «О побочных продуктах животноводства и внесении изменений в отдельные законодательные акты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№ ___, ст. ___) </w:t>
      </w:r>
      <w:r>
        <w:rPr>
          <w:rFonts w:eastAsiaTheme="minorHAnsi"/>
          <w:sz w:val="28"/>
          <w:szCs w:val="28"/>
          <w:lang w:eastAsia="en-US"/>
        </w:rPr>
        <w:t xml:space="preserve">п о с </w:t>
      </w:r>
      <w:r>
        <w:rPr>
          <w:rFonts w:eastAsiaTheme="minorHAnsi"/>
          <w:sz w:val="28"/>
          <w:szCs w:val="28"/>
          <w:lang w:eastAsia="en-US"/>
        </w:rPr>
        <w:t xml:space="preserve">т</w:t>
      </w:r>
      <w:r>
        <w:rPr>
          <w:rFonts w:eastAsiaTheme="minorHAnsi"/>
          <w:sz w:val="28"/>
          <w:szCs w:val="28"/>
          <w:lang w:eastAsia="en-US"/>
        </w:rPr>
        <w:t xml:space="preserve"> а н о в л я е т:</w:t>
      </w:r>
      <w:r/>
    </w:p>
    <w:p>
      <w:pPr>
        <w:ind w:left="113" w:righ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прилагаемые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требования к обращению побочных продуктов животноводства.</w:t>
      </w:r>
      <w:r/>
    </w:p>
    <w:p>
      <w:pPr>
        <w:ind w:left="113" w:righ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Настоящее постановление вступает в силу с 1 марта 2023 года и действует до 1 марта 2029 года.</w:t>
      </w:r>
      <w:r/>
    </w:p>
    <w:p>
      <w:pPr>
        <w:ind w:left="113" w:right="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/>
      </w:r>
      <w:r/>
    </w:p>
    <w:p>
      <w:pPr>
        <w:ind w:left="113" w:right="284" w:firstLine="709"/>
        <w:jc w:val="both"/>
        <w:spacing w:after="1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142"/>
        <w:jc w:val="both"/>
        <w:tabs>
          <w:tab w:val="center" w:pos="1758" w:leader="none"/>
        </w:tabs>
        <w:rPr>
          <w:rFonts w:eastAsia="Times New Roman"/>
          <w:sz w:val="28"/>
          <w:szCs w:val="20"/>
          <w:lang w:eastAsia="en-US"/>
        </w:rPr>
      </w:pPr>
      <w:r>
        <w:rPr>
          <w:rFonts w:eastAsia="Times New Roman"/>
          <w:sz w:val="28"/>
          <w:szCs w:val="20"/>
          <w:lang w:eastAsia="en-US"/>
        </w:rPr>
        <w:t xml:space="preserve">Председатель Правительства</w:t>
      </w:r>
      <w:r/>
    </w:p>
    <w:p>
      <w:pPr>
        <w:ind w:right="282"/>
        <w:jc w:val="both"/>
        <w:tabs>
          <w:tab w:val="center" w:pos="1758" w:leader="none"/>
          <w:tab w:val="left" w:pos="7230" w:leader="none"/>
        </w:tabs>
        <w:rPr>
          <w:rFonts w:eastAsia="Times New Roman"/>
          <w:sz w:val="28"/>
          <w:szCs w:val="20"/>
          <w:lang w:eastAsia="en-US"/>
        </w:rPr>
      </w:pPr>
      <w:r>
        <w:rPr>
          <w:rFonts w:eastAsia="Times New Roman"/>
          <w:sz w:val="28"/>
          <w:szCs w:val="20"/>
          <w:lang w:eastAsia="en-US"/>
        </w:rPr>
        <w:t xml:space="preserve">       Российской Федерации                                                   М. </w:t>
      </w:r>
      <w:r>
        <w:rPr>
          <w:rFonts w:eastAsia="Times New Roman"/>
          <w:sz w:val="28"/>
          <w:szCs w:val="20"/>
          <w:lang w:eastAsia="en-US"/>
        </w:rPr>
        <w:t xml:space="preserve">Мишустин</w:t>
      </w:r>
      <w:r/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/>
    </w:p>
    <w:p>
      <w:pPr>
        <w:ind w:left="5103" w:hanging="141"/>
        <w:jc w:val="center"/>
        <w:spacing w:before="280"/>
        <w:rPr>
          <w:sz w:val="28"/>
          <w:szCs w:val="28"/>
          <w:lang w:eastAsia="ru-RU"/>
        </w:rPr>
        <w:outlineLvl w:val="0"/>
      </w:pPr>
      <w:r>
        <w:rPr>
          <w:sz w:val="28"/>
          <w:szCs w:val="28"/>
          <w:lang w:eastAsia="ru-RU"/>
        </w:rPr>
        <w:t xml:space="preserve">УТВЕРЖДЕН</w:t>
      </w:r>
      <w:r>
        <w:rPr>
          <w:sz w:val="28"/>
          <w:szCs w:val="28"/>
          <w:lang w:eastAsia="ru-RU"/>
        </w:rPr>
        <w:t xml:space="preserve">Ы</w:t>
      </w:r>
      <w:r/>
    </w:p>
    <w:p>
      <w:pPr>
        <w:ind w:left="5103" w:hanging="14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Правительства</w:t>
      </w:r>
      <w:r/>
    </w:p>
    <w:p>
      <w:pPr>
        <w:ind w:left="5103" w:hanging="14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Российской Федерации</w:t>
      </w:r>
      <w:r/>
    </w:p>
    <w:p>
      <w:pPr>
        <w:ind w:left="5670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                     №              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ТРЕБОВАНИЯ К ОБРАЩЕНИЮ ПОБОЧНЫХ ПРОДУКТОВ ЖИВОТНОВОДСТВА</w:t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widowControl w:val="off"/>
        <w:rPr>
          <w:rFonts w:eastAsia="Times New Roman"/>
          <w:b/>
          <w:sz w:val="28"/>
          <w:szCs w:val="28"/>
          <w:lang w:eastAsia="ru-RU"/>
        </w:rPr>
        <w:outlineLvl w:val="1"/>
      </w:pPr>
      <w:r>
        <w:rPr>
          <w:rFonts w:eastAsia="Times New Roman"/>
          <w:b/>
          <w:sz w:val="28"/>
          <w:szCs w:val="28"/>
          <w:lang w:eastAsia="ru-RU"/>
        </w:rPr>
        <w:t xml:space="preserve">I. Общие положения</w:t>
      </w:r>
      <w:r/>
    </w:p>
    <w:p>
      <w:pPr>
        <w:jc w:val="both"/>
        <w:spacing w:line="276" w:lineRule="auto"/>
        <w:widowControl w:val="o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Настоящи</w:t>
      </w:r>
      <w:r>
        <w:rPr>
          <w:sz w:val="28"/>
          <w:szCs w:val="28"/>
          <w:lang w:eastAsia="ru-RU"/>
        </w:rPr>
        <w:t xml:space="preserve">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требования к обращению побочных продуктов животноводства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устанавлива</w:t>
      </w:r>
      <w:r>
        <w:rPr>
          <w:sz w:val="28"/>
          <w:szCs w:val="28"/>
          <w:lang w:eastAsia="ru-RU"/>
        </w:rPr>
        <w:t xml:space="preserve">ю</w:t>
      </w:r>
      <w:r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 xml:space="preserve">обязательные </w:t>
      </w:r>
      <w:r>
        <w:rPr>
          <w:sz w:val="28"/>
          <w:szCs w:val="28"/>
          <w:lang w:eastAsia="ru-RU"/>
        </w:rPr>
        <w:t xml:space="preserve">требования к обращению побочных продуктов животноводства </w:t>
      </w:r>
      <w:r>
        <w:rPr>
          <w:sz w:val="28"/>
          <w:szCs w:val="28"/>
          <w:lang w:eastAsia="ru-RU"/>
        </w:rPr>
        <w:t xml:space="preserve">при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хранени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, обработке, переработке, транспортировке, реализации и использовани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побочных продуктов животноводства в сельскохозяйственном </w:t>
      </w:r>
      <w:r>
        <w:rPr>
          <w:sz w:val="28"/>
          <w:szCs w:val="28"/>
          <w:lang w:eastAsia="ru-RU"/>
        </w:rPr>
        <w:t xml:space="preserve">производстве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(</w:t>
      </w:r>
      <w:r>
        <w:rPr>
          <w:sz w:val="28"/>
          <w:szCs w:val="28"/>
          <w:lang w:eastAsia="ru-RU"/>
        </w:rPr>
        <w:t xml:space="preserve">далее - требования).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Размещение, строительство, ввод в эксплуатацию объектов, связанных </w:t>
      </w:r>
      <w:r>
        <w:rPr>
          <w:sz w:val="28"/>
          <w:szCs w:val="28"/>
          <w:lang w:eastAsia="ru-RU"/>
        </w:rPr>
        <w:t xml:space="preserve">с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хранением</w:t>
      </w:r>
      <w:r>
        <w:rPr>
          <w:sz w:val="28"/>
          <w:szCs w:val="28"/>
          <w:lang w:eastAsia="ru-RU"/>
        </w:rPr>
        <w:t xml:space="preserve">, обработкой 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переработкой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побочных продуктов животноводства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должн</w:t>
      </w:r>
      <w:r>
        <w:rPr>
          <w:sz w:val="28"/>
          <w:szCs w:val="28"/>
          <w:lang w:eastAsia="ru-RU"/>
        </w:rPr>
        <w:t xml:space="preserve">ы</w:t>
      </w:r>
      <w:r>
        <w:rPr>
          <w:sz w:val="28"/>
          <w:szCs w:val="28"/>
          <w:lang w:eastAsia="ru-RU"/>
        </w:rPr>
        <w:t xml:space="preserve"> осуществляться в соответствии с законодательством </w:t>
      </w:r>
      <w:r>
        <w:rPr>
          <w:sz w:val="28"/>
          <w:szCs w:val="28"/>
          <w:lang w:eastAsia="ru-RU"/>
        </w:rPr>
        <w:t xml:space="preserve">Российской Федерации </w:t>
      </w:r>
      <w:r>
        <w:rPr>
          <w:sz w:val="28"/>
          <w:szCs w:val="28"/>
          <w:lang w:eastAsia="ru-RU"/>
        </w:rPr>
        <w:t xml:space="preserve">о градостроительной деятельности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законодательством Российской Федерации о техническом регулировании</w:t>
      </w:r>
      <w:r>
        <w:rPr>
          <w:sz w:val="28"/>
          <w:szCs w:val="28"/>
          <w:lang w:eastAsia="ru-RU"/>
        </w:rPr>
        <w:t xml:space="preserve">, ветеринарными </w:t>
      </w:r>
      <w:r>
        <w:rPr>
          <w:sz w:val="28"/>
          <w:szCs w:val="28"/>
          <w:lang w:eastAsia="ru-RU"/>
        </w:rPr>
        <w:t xml:space="preserve">нормами и </w:t>
      </w:r>
      <w:r>
        <w:rPr>
          <w:sz w:val="28"/>
          <w:szCs w:val="28"/>
          <w:lang w:eastAsia="ru-RU"/>
        </w:rPr>
        <w:t xml:space="preserve">правилами, </w:t>
      </w:r>
      <w:r>
        <w:rPr>
          <w:sz w:val="28"/>
          <w:szCs w:val="28"/>
          <w:lang w:eastAsia="ru-RU"/>
        </w:rPr>
        <w:t xml:space="preserve">санитарно-эпидемиологическими правилами и гигиеническими нормативами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Ввод в эксплуатацию объектов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связанных с </w:t>
      </w:r>
      <w:r>
        <w:rPr>
          <w:sz w:val="28"/>
          <w:szCs w:val="28"/>
          <w:lang w:eastAsia="ru-RU"/>
        </w:rPr>
        <w:t xml:space="preserve">хранением, обработкой и переработкой </w:t>
      </w:r>
      <w:r>
        <w:rPr>
          <w:sz w:val="28"/>
          <w:szCs w:val="28"/>
          <w:lang w:eastAsia="ru-RU"/>
        </w:rPr>
        <w:t xml:space="preserve">побочных продуктов животноводства должен осуществляться при условии проведения в полном объеме мероприятий по охране окружающей среды, предусмотренных проектной документацией объектов капитального строительства. </w:t>
      </w:r>
      <w:r>
        <w:rPr>
          <w:sz w:val="28"/>
          <w:szCs w:val="28"/>
          <w:lang w:eastAsia="ru-RU"/>
        </w:rPr>
        <w:t xml:space="preserve">Эксплуатация объектов должна осуществляться в соответствии с проектной документацией таких объектов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53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Обращение с побочными продуктами животноводства должно осуществляться</w:t>
      </w:r>
      <w:r>
        <w:rPr>
          <w:sz w:val="28"/>
          <w:szCs w:val="28"/>
          <w:lang w:eastAsia="ru-RU"/>
        </w:rPr>
        <w:t xml:space="preserve"> отдельно от хозяйственно-бытовых, производственных и смешанных сточных вод (в том </w:t>
      </w:r>
      <w:r>
        <w:rPr>
          <w:sz w:val="28"/>
          <w:szCs w:val="28"/>
          <w:lang w:eastAsia="ru-RU"/>
        </w:rPr>
        <w:t xml:space="preserve">числе </w:t>
      </w:r>
      <w:r>
        <w:rPr>
          <w:sz w:val="28"/>
          <w:szCs w:val="28"/>
          <w:lang w:eastAsia="ru-RU"/>
        </w:rPr>
        <w:t xml:space="preserve">сточных вод от </w:t>
      </w:r>
      <w:r>
        <w:rPr>
          <w:sz w:val="28"/>
          <w:szCs w:val="28"/>
          <w:lang w:eastAsia="ru-RU"/>
        </w:rPr>
        <w:t xml:space="preserve">населенных пунктов</w:t>
      </w:r>
      <w:r>
        <w:rPr>
          <w:sz w:val="28"/>
          <w:szCs w:val="28"/>
          <w:lang w:eastAsia="ru-RU"/>
        </w:rPr>
        <w:t xml:space="preserve">).</w:t>
      </w:r>
      <w:r/>
    </w:p>
    <w:p>
      <w:pPr>
        <w:ind w:firstLine="567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се сооружения и строительные элем</w:t>
      </w:r>
      <w:r>
        <w:rPr>
          <w:sz w:val="28"/>
          <w:szCs w:val="28"/>
          <w:lang w:eastAsia="ru-RU"/>
        </w:rPr>
        <w:t xml:space="preserve">енты систем удаления, </w:t>
      </w:r>
      <w:r>
        <w:rPr>
          <w:sz w:val="28"/>
          <w:szCs w:val="28"/>
          <w:lang w:eastAsia="ru-RU"/>
        </w:rPr>
        <w:t xml:space="preserve">хранения, </w:t>
      </w:r>
      <w:r>
        <w:rPr>
          <w:sz w:val="28"/>
          <w:szCs w:val="28"/>
          <w:lang w:eastAsia="ru-RU"/>
        </w:rPr>
        <w:t xml:space="preserve">обработки, переработки побочных продуктов </w:t>
      </w:r>
      <w:r>
        <w:rPr>
          <w:sz w:val="28"/>
          <w:szCs w:val="28"/>
          <w:lang w:eastAsia="ru-RU"/>
        </w:rPr>
        <w:t xml:space="preserve">животноводства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 том числе каналы</w:t>
      </w:r>
      <w:r>
        <w:rPr>
          <w:sz w:val="28"/>
          <w:szCs w:val="28"/>
          <w:lang w:eastAsia="ru-RU"/>
        </w:rPr>
        <w:t xml:space="preserve"> в животноводческих помещениях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должны исключа</w:t>
      </w:r>
      <w:r>
        <w:rPr>
          <w:sz w:val="28"/>
          <w:szCs w:val="28"/>
          <w:lang w:eastAsia="ru-RU"/>
        </w:rPr>
        <w:t xml:space="preserve">ть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фильтрацию жидко</w:t>
      </w:r>
      <w:r>
        <w:rPr>
          <w:sz w:val="28"/>
          <w:szCs w:val="28"/>
          <w:lang w:eastAsia="ru-RU"/>
        </w:rPr>
        <w:t xml:space="preserve">й фракции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побочных продуктов животноводства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водоносные горизонты.</w:t>
      </w:r>
      <w:r/>
    </w:p>
    <w:p>
      <w:pPr>
        <w:ind w:firstLine="539"/>
        <w:jc w:val="both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</w:t>
      </w:r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Технологические решения, применяемые при обращении побочных продуктов животноводства, должны обеспечи</w:t>
      </w:r>
      <w:r>
        <w:rPr>
          <w:sz w:val="28"/>
          <w:szCs w:val="28"/>
          <w:lang w:eastAsia="ru-RU"/>
        </w:rPr>
        <w:t xml:space="preserve">ва</w:t>
      </w:r>
      <w:r>
        <w:rPr>
          <w:sz w:val="28"/>
          <w:szCs w:val="28"/>
          <w:lang w:eastAsia="ru-RU"/>
        </w:rPr>
        <w:t xml:space="preserve">ть соответствие побочных продуктов животноводства настоящим требованиям, ветеринарным </w:t>
      </w:r>
      <w:r>
        <w:rPr>
          <w:sz w:val="28"/>
          <w:szCs w:val="28"/>
          <w:lang w:eastAsia="ru-RU"/>
        </w:rPr>
        <w:t xml:space="preserve">нормам и </w:t>
      </w:r>
      <w:r>
        <w:rPr>
          <w:sz w:val="28"/>
          <w:szCs w:val="28"/>
          <w:lang w:eastAsia="ru-RU"/>
        </w:rPr>
        <w:t xml:space="preserve">правилам, </w:t>
      </w:r>
      <w:r>
        <w:rPr>
          <w:sz w:val="28"/>
          <w:szCs w:val="28"/>
          <w:lang w:eastAsia="ru-RU"/>
        </w:rPr>
        <w:t xml:space="preserve">санитарно-эпидемиологическим правилам и гигиеническим нормативам</w:t>
      </w:r>
      <w:r>
        <w:rPr>
          <w:sz w:val="28"/>
          <w:szCs w:val="28"/>
          <w:lang w:eastAsia="ru-RU"/>
        </w:rPr>
        <w:t xml:space="preserve">, требованиям в области охраны окружающей среды.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хранению побочных продуктов животноводства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Хранение побочных продуктов животноводства до их обработки, переработки допускается только на специализированных площадках.</w:t>
      </w:r>
      <w:r/>
    </w:p>
    <w:p>
      <w:pPr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Специализированные площадки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должны располагаться </w:t>
      </w:r>
      <w:r>
        <w:rPr>
          <w:bCs/>
          <w:sz w:val="28"/>
          <w:szCs w:val="28"/>
        </w:rPr>
        <w:t xml:space="preserve">отдельно от объектов содержания сельскохозяйственных животных с подветренной стороны по отношению к местам для содержания </w:t>
      </w:r>
      <w:r>
        <w:rPr>
          <w:bCs/>
          <w:sz w:val="28"/>
          <w:szCs w:val="28"/>
        </w:rPr>
        <w:t xml:space="preserve">сельскохозяйственных </w:t>
      </w:r>
      <w:r>
        <w:rPr>
          <w:bCs/>
          <w:sz w:val="28"/>
          <w:szCs w:val="28"/>
        </w:rPr>
        <w:t xml:space="preserve">животных и ниже водозаборных сооружений.</w:t>
      </w:r>
      <w:r/>
    </w:p>
    <w:p>
      <w:pPr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  <w:tab w:val="left" w:pos="993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Характеристики (площадь, объем) специализированных площадок определяются исходя из количества поголовья и вида</w:t>
      </w:r>
      <w:r>
        <w:t xml:space="preserve"> </w:t>
      </w:r>
      <w:r>
        <w:rPr>
          <w:bCs/>
          <w:sz w:val="28"/>
          <w:szCs w:val="28"/>
        </w:rPr>
        <w:t xml:space="preserve">сельскохозяйственных</w:t>
      </w:r>
      <w:r>
        <w:rPr>
          <w:bCs/>
          <w:sz w:val="28"/>
          <w:szCs w:val="28"/>
        </w:rPr>
        <w:t xml:space="preserve"> животных, от которых собирается побочный продукт животноводства, суточного количества его выхода и времени </w:t>
      </w:r>
      <w:r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 xml:space="preserve">использования. Переполнение специализированных площадок не допускается. </w:t>
      </w:r>
      <w:r/>
    </w:p>
    <w:p>
      <w:pPr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  <w:tab w:val="left" w:pos="993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Хранение побочных продуктов животноводст</w:t>
      </w:r>
      <w:r>
        <w:rPr>
          <w:bCs/>
          <w:sz w:val="28"/>
          <w:szCs w:val="28"/>
        </w:rPr>
        <w:t xml:space="preserve">ва должно осуществляться способами</w:t>
      </w:r>
      <w:r>
        <w:rPr>
          <w:bCs/>
          <w:sz w:val="28"/>
          <w:szCs w:val="28"/>
        </w:rPr>
        <w:t xml:space="preserve">, предотвращающим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загрязнение окружающей среды и ее компонентов, в том числе попадание загрязняющих веществ в водоносный горизонт.</w:t>
      </w:r>
      <w:r/>
    </w:p>
    <w:p>
      <w:pPr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  <w:tab w:val="left" w:pos="993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 xml:space="preserve">Для защиты грунтовых вод от загрязнения </w:t>
      </w:r>
      <w:r>
        <w:rPr>
          <w:bCs/>
          <w:sz w:val="28"/>
          <w:szCs w:val="28"/>
        </w:rPr>
        <w:t xml:space="preserve">специализированные площадки должны иметь</w:t>
      </w:r>
      <w:r>
        <w:rPr>
          <w:bCs/>
          <w:sz w:val="28"/>
          <w:szCs w:val="28"/>
        </w:rPr>
        <w:t xml:space="preserve"> монолитные бетонные</w:t>
      </w:r>
      <w:r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герметично сваренные пленочные покрытия либо име</w:t>
      </w:r>
      <w:r>
        <w:rPr>
          <w:bCs/>
          <w:sz w:val="28"/>
          <w:szCs w:val="28"/>
        </w:rPr>
        <w:t xml:space="preserve">ть</w:t>
      </w:r>
      <w:r>
        <w:rPr>
          <w:bCs/>
          <w:sz w:val="28"/>
          <w:szCs w:val="28"/>
        </w:rPr>
        <w:t xml:space="preserve"> в основании глиняную подушку толщиной не менее 20 - 25 см.</w:t>
      </w:r>
      <w:r/>
    </w:p>
    <w:p>
      <w:pPr>
        <w:pStyle w:val="729"/>
        <w:ind w:left="0"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Специализированные площадки</w:t>
      </w:r>
      <w:r>
        <w:rPr>
          <w:bCs/>
          <w:sz w:val="28"/>
          <w:szCs w:val="28"/>
        </w:rPr>
        <w:t xml:space="preserve"> с боковых сторон должны иметь бортики и канавки для стока избыточной влаги. Избыточную влагу и навозную жижу отводят в существующую дренажно-канализационную систему либо засыпают сорбирующими материалами.</w:t>
      </w:r>
      <w:r/>
    </w:p>
    <w:p>
      <w:pPr>
        <w:contextualSpacing/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целях соблюдения требований в области охраны окружающей среды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специализированных площадках </w:t>
      </w:r>
      <w:r>
        <w:rPr>
          <w:bCs/>
          <w:sz w:val="28"/>
          <w:szCs w:val="28"/>
        </w:rPr>
        <w:t xml:space="preserve">должен осуществляется</w:t>
      </w:r>
      <w:r>
        <w:t xml:space="preserve"> </w:t>
      </w:r>
      <w:r>
        <w:rPr>
          <w:bCs/>
          <w:sz w:val="28"/>
          <w:szCs w:val="28"/>
        </w:rPr>
        <w:t xml:space="preserve">производственный экологический контроль</w:t>
      </w:r>
      <w:r>
        <w:rPr>
          <w:bCs/>
          <w:sz w:val="28"/>
          <w:szCs w:val="28"/>
        </w:rPr>
        <w:t xml:space="preserve"> в соответствии с требованиями </w:t>
      </w:r>
      <w:r>
        <w:rPr>
          <w:bCs/>
          <w:sz w:val="28"/>
          <w:szCs w:val="28"/>
        </w:rPr>
        <w:t xml:space="preserve">законодательства об охране окружающей среды</w:t>
      </w:r>
      <w:r>
        <w:rPr>
          <w:rStyle w:val="744"/>
          <w:bCs/>
          <w:sz w:val="28"/>
          <w:szCs w:val="28"/>
        </w:rPr>
        <w:footnoteReference w:id="2"/>
      </w:r>
      <w:r/>
    </w:p>
    <w:p>
      <w:pPr>
        <w:contextualSpacing/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>
        <w:rPr>
          <w:bCs/>
          <w:sz w:val="28"/>
          <w:szCs w:val="28"/>
        </w:rPr>
        <w:t xml:space="preserve">Требования пунктов 6-8, 10, 11 настоящего раздела </w:t>
      </w:r>
      <w:r>
        <w:rPr>
          <w:bCs/>
          <w:sz w:val="28"/>
          <w:szCs w:val="28"/>
        </w:rPr>
        <w:t xml:space="preserve">не применяются </w:t>
      </w:r>
      <w:r>
        <w:rPr>
          <w:bCs/>
          <w:sz w:val="28"/>
          <w:szCs w:val="28"/>
        </w:rPr>
        <w:t xml:space="preserve">при</w:t>
      </w:r>
      <w:r>
        <w:rPr>
          <w:bCs/>
          <w:sz w:val="28"/>
          <w:szCs w:val="28"/>
        </w:rPr>
        <w:t xml:space="preserve"> содержани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сельскохозяйственных животных</w:t>
      </w:r>
      <w:r>
        <w:rPr>
          <w:bCs/>
          <w:sz w:val="28"/>
          <w:szCs w:val="28"/>
        </w:rPr>
        <w:t xml:space="preserve"> на условиях круглогодичного пастбищного содержания.</w:t>
      </w:r>
      <w:r/>
    </w:p>
    <w:p>
      <w:pPr>
        <w:contextualSpacing/>
        <w:ind w:firstLine="426"/>
        <w:jc w:val="both"/>
        <w:spacing w:line="276" w:lineRule="auto"/>
        <w:widowControl w:val="off"/>
        <w:tabs>
          <w:tab w:val="left" w:pos="709" w:leader="none"/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>
        <w:rPr>
          <w:bCs/>
          <w:sz w:val="28"/>
          <w:szCs w:val="28"/>
        </w:rPr>
        <w:t xml:space="preserve">Допускается временное хранение сроком не более 5 месяцев обработанных, переработанных побочных прод</w:t>
      </w:r>
      <w:r>
        <w:rPr>
          <w:bCs/>
          <w:sz w:val="28"/>
          <w:szCs w:val="28"/>
        </w:rPr>
        <w:t xml:space="preserve">уктов животноводства твердой фракции в буртах на поле, размещенных в стороне от наземных или подземных водных объектов, в которые могли бы попасть стоки, на период внесения побочных продуктов животноводства на верхнем плодородном слое почвы, без его снятия</w:t>
      </w:r>
      <w:r>
        <w:rPr>
          <w:bCs/>
          <w:sz w:val="28"/>
          <w:szCs w:val="28"/>
        </w:rPr>
        <w:t xml:space="preserve">,</w:t>
      </w:r>
      <w:r>
        <w:t xml:space="preserve"> </w:t>
      </w:r>
      <w:r>
        <w:rPr>
          <w:bCs/>
          <w:sz w:val="28"/>
          <w:szCs w:val="28"/>
        </w:rPr>
        <w:t xml:space="preserve">без оборудования искусственного водонепроницаемого основания и </w:t>
      </w:r>
      <w:r>
        <w:rPr>
          <w:bCs/>
          <w:sz w:val="28"/>
          <w:szCs w:val="28"/>
        </w:rPr>
        <w:t xml:space="preserve">обваловки</w:t>
      </w:r>
      <w:r>
        <w:rPr>
          <w:bCs/>
          <w:sz w:val="28"/>
          <w:szCs w:val="28"/>
        </w:rPr>
        <w:t xml:space="preserve"> по периметру бурта другими насыпными материалами</w:t>
      </w:r>
      <w:r>
        <w:rPr>
          <w:bCs/>
          <w:sz w:val="28"/>
          <w:szCs w:val="28"/>
        </w:rPr>
        <w:t xml:space="preserve">. 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85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III</w:t>
      </w:r>
      <w:r>
        <w:rPr>
          <w:b/>
          <w:bCs/>
          <w:sz w:val="28"/>
          <w:szCs w:val="28"/>
        </w:rPr>
        <w:t xml:space="preserve">. Требования к </w:t>
      </w:r>
      <w:r>
        <w:rPr>
          <w:b/>
          <w:bCs/>
          <w:sz w:val="28"/>
          <w:szCs w:val="28"/>
        </w:rPr>
        <w:t xml:space="preserve">обработке, переработке </w:t>
      </w:r>
      <w:r>
        <w:rPr>
          <w:b/>
          <w:bCs/>
          <w:sz w:val="28"/>
          <w:szCs w:val="28"/>
        </w:rPr>
        <w:t xml:space="preserve">побочных продуктов животноводства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widowControl w:val="off"/>
        <w:tabs>
          <w:tab w:val="left" w:pos="851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объектах, связанных с выращиванием и содержанием сельскохозяйственных животных, должны быть обеспечены условия для </w:t>
      </w:r>
      <w:r>
        <w:rPr>
          <w:bCs/>
          <w:sz w:val="28"/>
          <w:szCs w:val="28"/>
        </w:rPr>
        <w:t xml:space="preserve">обработки, переработки</w:t>
      </w:r>
      <w:r>
        <w:rPr>
          <w:bCs/>
          <w:sz w:val="28"/>
          <w:szCs w:val="28"/>
        </w:rPr>
        <w:t xml:space="preserve"> побочных продуктов животноводства.</w:t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Обработка, переработка побочных продуктов животноводства допускается только на специализированных площадках.</w:t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widowControl w:val="off"/>
        <w:tabs>
          <w:tab w:val="left" w:pos="709" w:leader="none"/>
          <w:tab w:val="left" w:pos="1134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Способами обработки, переработки побочных продуктов животноводства являются накопление и выдерживание стоков или осветленных фракций в специализированных накопителях и (или) компостирование твердых фракций, в том числе в виде глубокой несменяемой подстилки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и (или) </w:t>
      </w:r>
      <w:r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 xml:space="preserve">переработка на специализированном оборудовании и/или с применением специализированных препаратов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добавок.</w:t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widowControl w:val="off"/>
        <w:tabs>
          <w:tab w:val="left" w:pos="709" w:leader="none"/>
          <w:tab w:val="left" w:pos="1134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обработанных, переработанных побочных продуктах животноводства не допускается наличие патогенных и болезнетворных микроорганизмов и паразитов</w:t>
      </w:r>
      <w:r>
        <w:rPr>
          <w:bCs/>
          <w:sz w:val="28"/>
          <w:szCs w:val="28"/>
        </w:rPr>
        <w:t xml:space="preserve">,</w:t>
      </w:r>
      <w:r>
        <w:t xml:space="preserve"> </w:t>
      </w:r>
      <w:r>
        <w:rPr>
          <w:bCs/>
          <w:sz w:val="28"/>
          <w:szCs w:val="28"/>
        </w:rPr>
        <w:t xml:space="preserve">указанных в приложении к настоящим Требованиям</w:t>
      </w:r>
      <w:r>
        <w:rPr>
          <w:bCs/>
          <w:sz w:val="28"/>
          <w:szCs w:val="28"/>
        </w:rPr>
        <w:t xml:space="preserve">.</w:t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widowControl w:val="off"/>
        <w:tabs>
          <w:tab w:val="left" w:pos="709" w:leader="none"/>
          <w:tab w:val="left" w:pos="1134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токсичных элементов, пестицидов</w:t>
      </w:r>
      <w:r>
        <w:rPr>
          <w:bCs/>
          <w:sz w:val="28"/>
          <w:szCs w:val="28"/>
        </w:rPr>
        <w:t xml:space="preserve"> и иных потенциально опасных веществ в обработанных, переработанных побочных продуктах животноводства </w:t>
      </w:r>
      <w:r>
        <w:rPr>
          <w:bCs/>
          <w:sz w:val="28"/>
          <w:szCs w:val="28"/>
        </w:rPr>
        <w:t xml:space="preserve">не должно превышать норм</w:t>
      </w:r>
      <w:r>
        <w:rPr>
          <w:bCs/>
          <w:sz w:val="28"/>
          <w:szCs w:val="28"/>
        </w:rPr>
        <w:t xml:space="preserve">ативов</w:t>
      </w:r>
      <w:r>
        <w:rPr>
          <w:bCs/>
          <w:sz w:val="28"/>
          <w:szCs w:val="28"/>
        </w:rPr>
        <w:t xml:space="preserve">, указанных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приложении к настоящим Требованиям</w:t>
      </w:r>
      <w:r>
        <w:rPr>
          <w:bCs/>
          <w:sz w:val="28"/>
          <w:szCs w:val="28"/>
        </w:rPr>
        <w:t xml:space="preserve">.</w:t>
      </w:r>
      <w:r/>
    </w:p>
    <w:p>
      <w:pPr>
        <w:pStyle w:val="729"/>
        <w:numPr>
          <w:ilvl w:val="0"/>
          <w:numId w:val="10"/>
        </w:numPr>
        <w:ind w:left="0" w:firstLine="709"/>
        <w:jc w:val="both"/>
        <w:spacing w:line="276" w:lineRule="auto"/>
        <w:widowControl w:val="off"/>
        <w:tabs>
          <w:tab w:val="left" w:pos="709" w:leader="none"/>
          <w:tab w:val="left" w:pos="1134" w:leader="none"/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тбор проб побочных продуктов животноводства для проведения лабораторных исследований про</w:t>
      </w:r>
      <w:r>
        <w:rPr>
          <w:bCs/>
          <w:sz w:val="28"/>
          <w:szCs w:val="28"/>
        </w:rPr>
        <w:t xml:space="preserve">изводится</w:t>
      </w:r>
      <w:r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правилами отбора проб (образцов) и методами их исследований (испытаний)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измерений</w:t>
      </w:r>
      <w:r>
        <w:rPr>
          <w:bCs/>
          <w:sz w:val="28"/>
          <w:szCs w:val="28"/>
        </w:rPr>
        <w:t xml:space="preserve"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содержащимися 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национальны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 стандарта</w:t>
      </w:r>
      <w:r>
        <w:rPr>
          <w:bCs/>
          <w:sz w:val="28"/>
          <w:szCs w:val="28"/>
        </w:rPr>
        <w:t xml:space="preserve">х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иных</w:t>
      </w:r>
      <w:r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 xml:space="preserve">ах</w:t>
      </w:r>
      <w:r>
        <w:rPr>
          <w:bCs/>
          <w:sz w:val="28"/>
          <w:szCs w:val="28"/>
        </w:rPr>
        <w:t xml:space="preserve"> в области стандартизации</w:t>
      </w:r>
      <w:r>
        <w:rPr>
          <w:bCs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транспортированию побочных продуктов животноводства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40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Транспортирование побочных продуктов животноводства осуществля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т передвижным транспортом или стационарными устройствами (гидромеханический транспорт).</w:t>
      </w:r>
      <w:r/>
    </w:p>
    <w:p>
      <w:pPr>
        <w:contextualSpacing/>
        <w:ind w:firstLine="540"/>
        <w:jc w:val="both"/>
        <w:spacing w:line="276" w:lineRule="auto"/>
        <w:widowControl w:val="off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>
        <w:rPr>
          <w:bCs/>
          <w:sz w:val="28"/>
          <w:szCs w:val="28"/>
        </w:rPr>
        <w:t xml:space="preserve">Транспортирование побочных продуктов животноводства должно осуществляться способом, исключающим загрязнение</w:t>
      </w:r>
      <w:r>
        <w:rPr>
          <w:bCs/>
          <w:sz w:val="28"/>
          <w:szCs w:val="28"/>
        </w:rPr>
        <w:t xml:space="preserve"> среды обитания человека,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окружающей </w:t>
      </w:r>
      <w:r>
        <w:rPr>
          <w:bCs/>
          <w:sz w:val="28"/>
          <w:szCs w:val="28"/>
        </w:rPr>
        <w:t xml:space="preserve">среды </w:t>
      </w:r>
      <w:r>
        <w:rPr>
          <w:bCs/>
          <w:sz w:val="28"/>
          <w:szCs w:val="28"/>
        </w:rPr>
        <w:t xml:space="preserve">и ее компонентов, в том числе почв, водных объектов, лесов</w:t>
      </w:r>
      <w:r>
        <w:rPr>
          <w:bCs/>
          <w:sz w:val="28"/>
          <w:szCs w:val="28"/>
        </w:rPr>
        <w:t xml:space="preserve">.</w:t>
      </w:r>
      <w:r/>
    </w:p>
    <w:p>
      <w:pPr>
        <w:ind w:firstLine="567"/>
        <w:jc w:val="both"/>
        <w:spacing w:line="276" w:lineRule="auto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22. </w:t>
      </w:r>
      <w:r>
        <w:rPr>
          <w:bCs/>
          <w:sz w:val="28"/>
          <w:szCs w:val="28"/>
        </w:rPr>
        <w:t xml:space="preserve">Транспортирование побочных продуктов животноводства должно </w:t>
      </w:r>
      <w:r>
        <w:rPr>
          <w:bCs/>
          <w:sz w:val="28"/>
          <w:szCs w:val="28"/>
        </w:rPr>
        <w:t xml:space="preserve">осуществляться в </w:t>
      </w:r>
      <w:r>
        <w:rPr>
          <w:bCs/>
          <w:sz w:val="28"/>
          <w:szCs w:val="28"/>
        </w:rPr>
        <w:t xml:space="preserve">сопровождении документов, предусмотренных </w:t>
      </w:r>
      <w:r>
        <w:rPr>
          <w:bCs/>
          <w:sz w:val="28"/>
          <w:szCs w:val="28"/>
        </w:rPr>
        <w:t xml:space="preserve">ветеринарными правилами </w:t>
      </w:r>
      <w:r>
        <w:rPr>
          <w:sz w:val="28"/>
          <w:szCs w:val="28"/>
          <w:lang w:eastAsia="ru-RU"/>
        </w:rPr>
        <w:t xml:space="preserve">при оформлении ветеринарных сопроводительных документов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со статьей 2.3 Закона </w:t>
      </w:r>
      <w:r>
        <w:rPr>
          <w:sz w:val="28"/>
          <w:szCs w:val="28"/>
          <w:lang w:eastAsia="ru-RU"/>
        </w:rPr>
        <w:t xml:space="preserve">Российской Федерации от 14 мая 1993 г. № 4979-1 «О ветеринарии»</w:t>
      </w:r>
      <w:r>
        <w:rPr>
          <w:rStyle w:val="744"/>
          <w:sz w:val="28"/>
          <w:szCs w:val="28"/>
          <w:lang w:eastAsia="ru-RU"/>
        </w:rPr>
        <w:footnoteReference w:id="3"/>
      </w:r>
      <w:r>
        <w:rPr>
          <w:sz w:val="28"/>
          <w:szCs w:val="28"/>
          <w:lang w:eastAsia="ru-RU"/>
        </w:rPr>
        <w:t xml:space="preserve">.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>
        <w:rPr>
          <w:bCs/>
          <w:sz w:val="28"/>
          <w:szCs w:val="28"/>
        </w:rPr>
        <w:t xml:space="preserve">Не допускается пересечение путей перемещения не обработанных, не переработанных побочных продуктов животноводства с путями перемещения животных, продукции животного происхождения, кормов.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использованию побочных продуктов животноводства</w:t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побочных продуктов животноводства </w:t>
      </w:r>
      <w:r>
        <w:rPr>
          <w:bCs/>
          <w:sz w:val="28"/>
          <w:szCs w:val="28"/>
        </w:rPr>
        <w:t xml:space="preserve">не должно приводить к истощению, деградации, порче, уничтожению земель и почв и иному негативному воздействию на земли и почвы.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>
        <w:rPr>
          <w:bCs/>
          <w:sz w:val="28"/>
          <w:szCs w:val="28"/>
        </w:rPr>
        <w:t xml:space="preserve">Внесение на поля побочных продуктов животноводства должно осуществляться на расстоянии не менее 300 метров от границ </w:t>
      </w:r>
      <w:r>
        <w:rPr>
          <w:bCs/>
          <w:sz w:val="28"/>
          <w:szCs w:val="28"/>
        </w:rPr>
        <w:t xml:space="preserve">жилой застройки</w:t>
      </w:r>
      <w:r>
        <w:rPr>
          <w:bCs/>
          <w:sz w:val="28"/>
          <w:szCs w:val="28"/>
        </w:rPr>
        <w:t xml:space="preserve">.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>
        <w:rPr>
          <w:bCs/>
          <w:sz w:val="28"/>
          <w:szCs w:val="28"/>
        </w:rPr>
        <w:t xml:space="preserve">Периодичность внесения побочных продуктов животноводства в почву должна </w:t>
      </w:r>
      <w:r>
        <w:rPr>
          <w:bCs/>
          <w:sz w:val="28"/>
          <w:szCs w:val="28"/>
        </w:rPr>
        <w:t xml:space="preserve">исключать</w:t>
      </w:r>
      <w:r>
        <w:rPr>
          <w:bCs/>
          <w:sz w:val="28"/>
          <w:szCs w:val="28"/>
        </w:rPr>
        <w:t xml:space="preserve"> смыв питательных веществ в грунтовые и </w:t>
      </w:r>
      <w:r>
        <w:rPr>
          <w:bCs/>
          <w:sz w:val="28"/>
          <w:szCs w:val="28"/>
        </w:rPr>
        <w:t xml:space="preserve">поверхностные водные объекты.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допускается внесение побочных продуктов животноводства</w:t>
      </w:r>
      <w:r>
        <w:rPr>
          <w:bCs/>
          <w:sz w:val="28"/>
          <w:szCs w:val="28"/>
        </w:rPr>
        <w:br/>
      </w:r>
      <w:bookmarkStart w:id="0" w:name="_GoBack"/>
      <w:r/>
      <w:bookmarkEnd w:id="0"/>
      <w:r>
        <w:rPr>
          <w:bCs/>
          <w:sz w:val="28"/>
          <w:szCs w:val="28"/>
        </w:rPr>
        <w:t xml:space="preserve">в почву </w:t>
      </w:r>
      <w:r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высот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снежного покрова выше 20 см. 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>
        <w:rPr>
          <w:bCs/>
          <w:sz w:val="28"/>
          <w:szCs w:val="28"/>
        </w:rPr>
        <w:t xml:space="preserve">Побочные продукты животноводства вносятся в </w:t>
      </w:r>
      <w:r>
        <w:rPr>
          <w:bCs/>
          <w:sz w:val="28"/>
          <w:szCs w:val="28"/>
        </w:rPr>
        <w:t xml:space="preserve">почву </w:t>
      </w:r>
      <w:r>
        <w:rPr>
          <w:bCs/>
          <w:sz w:val="28"/>
          <w:szCs w:val="28"/>
        </w:rPr>
        <w:t xml:space="preserve">посредством равномерного внесения по площади поля с последующей за</w:t>
      </w:r>
      <w:r>
        <w:rPr>
          <w:bCs/>
          <w:sz w:val="28"/>
          <w:szCs w:val="28"/>
        </w:rPr>
        <w:t xml:space="preserve">делкой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допускается временной разрыв между внесением и заделкой</w:t>
      </w:r>
      <w:r>
        <w:rPr>
          <w:bCs/>
          <w:sz w:val="28"/>
          <w:szCs w:val="28"/>
        </w:rPr>
        <w:t xml:space="preserve"> побочных</w:t>
      </w:r>
      <w:r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 xml:space="preserve">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животноводства </w:t>
      </w:r>
      <w:r>
        <w:rPr>
          <w:bCs/>
          <w:sz w:val="28"/>
          <w:szCs w:val="28"/>
        </w:rPr>
        <w:t xml:space="preserve">более двух часов для жидких фракций и двух недель для твердой фракции.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Требования пунктов 26 и 28 не применяются </w:t>
      </w:r>
      <w:r>
        <w:rPr>
          <w:bCs/>
          <w:sz w:val="28"/>
          <w:szCs w:val="28"/>
        </w:rPr>
        <w:t xml:space="preserve">для прудов, используемых в товарном рыбоводстве, на период их </w:t>
      </w:r>
      <w:r>
        <w:rPr>
          <w:bCs/>
          <w:sz w:val="28"/>
          <w:szCs w:val="28"/>
        </w:rPr>
        <w:t xml:space="preserve">летования</w:t>
      </w:r>
      <w:r>
        <w:rPr>
          <w:bCs/>
          <w:sz w:val="28"/>
          <w:szCs w:val="28"/>
        </w:rPr>
        <w:t xml:space="preserve">.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несени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побочных продуктов животноводства в почву </w:t>
      </w:r>
      <w:r>
        <w:rPr>
          <w:bCs/>
          <w:sz w:val="28"/>
          <w:szCs w:val="28"/>
        </w:rPr>
        <w:t xml:space="preserve">должн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осуществляться в соответствии с</w:t>
      </w:r>
      <w:r>
        <w:rPr>
          <w:bCs/>
          <w:sz w:val="28"/>
          <w:szCs w:val="28"/>
        </w:rPr>
        <w:t xml:space="preserve"> технически</w:t>
      </w:r>
      <w:r>
        <w:rPr>
          <w:bCs/>
          <w:sz w:val="28"/>
          <w:szCs w:val="28"/>
        </w:rPr>
        <w:t xml:space="preserve">ми</w:t>
      </w:r>
      <w:r>
        <w:rPr>
          <w:bCs/>
          <w:sz w:val="28"/>
          <w:szCs w:val="28"/>
        </w:rPr>
        <w:t xml:space="preserve"> условия</w:t>
      </w:r>
      <w:r>
        <w:rPr>
          <w:bCs/>
          <w:sz w:val="28"/>
          <w:szCs w:val="28"/>
        </w:rPr>
        <w:t xml:space="preserve">ми и регламентами</w:t>
      </w:r>
      <w:r>
        <w:rPr>
          <w:bCs/>
          <w:sz w:val="28"/>
          <w:szCs w:val="28"/>
        </w:rPr>
        <w:t xml:space="preserve">, утвержденны</w:t>
      </w:r>
      <w:r>
        <w:rPr>
          <w:bCs/>
          <w:sz w:val="28"/>
          <w:szCs w:val="28"/>
        </w:rPr>
        <w:t xml:space="preserve">ми</w:t>
      </w:r>
      <w:r>
        <w:rPr>
          <w:bCs/>
          <w:sz w:val="28"/>
          <w:szCs w:val="28"/>
        </w:rPr>
        <w:t xml:space="preserve"> изготовителем побочных продуктов </w:t>
      </w:r>
      <w:r>
        <w:rPr>
          <w:bCs/>
          <w:sz w:val="28"/>
          <w:szCs w:val="28"/>
        </w:rPr>
        <w:t xml:space="preserve">животноводства,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 учетом</w:t>
      </w:r>
      <w:r>
        <w:rPr>
          <w:bCs/>
          <w:sz w:val="28"/>
          <w:szCs w:val="28"/>
        </w:rPr>
        <w:t xml:space="preserve"> природно-климатических, почвенных условий, принятых севооборотов, структуры посевов и требуемого уровня урожайности сельскохозяйственных культур. 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внесении в почву не допускается </w:t>
      </w:r>
      <w:r>
        <w:rPr>
          <w:bCs/>
          <w:sz w:val="28"/>
          <w:szCs w:val="28"/>
        </w:rPr>
        <w:t xml:space="preserve">несоответствие</w:t>
      </w:r>
      <w:r>
        <w:rPr>
          <w:bCs/>
          <w:sz w:val="28"/>
          <w:szCs w:val="28"/>
        </w:rPr>
        <w:t xml:space="preserve"> нормативов содержания веществ, установленных в технических условиях</w:t>
      </w:r>
      <w:r>
        <w:rPr>
          <w:bCs/>
          <w:sz w:val="28"/>
          <w:szCs w:val="28"/>
        </w:rPr>
        <w:t xml:space="preserve">, утвержденных изготовителем побочных продуктов животноводства</w:t>
      </w:r>
      <w:r>
        <w:rPr>
          <w:bCs/>
          <w:sz w:val="28"/>
          <w:szCs w:val="28"/>
        </w:rPr>
        <w:t xml:space="preserve">. </w:t>
      </w:r>
      <w:r/>
    </w:p>
    <w:p>
      <w:pPr>
        <w:contextualSpacing/>
        <w:ind w:firstLine="567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внесением в почву побочных продуктов животноводства </w:t>
      </w:r>
      <w:r>
        <w:rPr>
          <w:bCs/>
          <w:sz w:val="28"/>
          <w:szCs w:val="28"/>
        </w:rPr>
        <w:t xml:space="preserve">хозяйствующим субъектом </w:t>
      </w:r>
      <w:r>
        <w:rPr>
          <w:bCs/>
          <w:sz w:val="28"/>
          <w:szCs w:val="28"/>
        </w:rPr>
        <w:t xml:space="preserve">проводится их качественный анализ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 соответствие нормативам и показателям, установленным в технических условиях</w:t>
      </w:r>
      <w:r>
        <w:rPr>
          <w:bCs/>
          <w:sz w:val="28"/>
          <w:szCs w:val="28"/>
        </w:rPr>
        <w:t xml:space="preserve">,</w:t>
      </w:r>
      <w:r>
        <w:t xml:space="preserve"> </w:t>
      </w:r>
      <w:r>
        <w:rPr>
          <w:bCs/>
          <w:sz w:val="28"/>
          <w:szCs w:val="28"/>
        </w:rPr>
        <w:t xml:space="preserve">утвержденных изготовителем побочных продуктов животноводства</w:t>
      </w:r>
      <w:r>
        <w:rPr>
          <w:bCs/>
          <w:sz w:val="28"/>
          <w:szCs w:val="28"/>
        </w:rPr>
        <w:t xml:space="preserve">. </w:t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. Требования к реализации побочных продуктов животноводства</w:t>
      </w:r>
      <w:r/>
    </w:p>
    <w:p>
      <w:pPr>
        <w:contextualSpacing/>
        <w:ind w:firstLine="540"/>
        <w:jc w:val="center"/>
        <w:spacing w:line="276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ind w:firstLine="540"/>
        <w:jc w:val="both"/>
        <w:spacing w:line="276" w:lineRule="auto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допускается передача </w:t>
      </w:r>
      <w:r>
        <w:rPr>
          <w:bCs/>
          <w:sz w:val="28"/>
          <w:szCs w:val="28"/>
        </w:rPr>
        <w:t xml:space="preserve">права собственности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побочны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 животноводства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лицам, не осуществляющим производство</w:t>
      </w:r>
      <w:r>
        <w:rPr>
          <w:bCs/>
          <w:sz w:val="28"/>
          <w:szCs w:val="28"/>
        </w:rPr>
        <w:t xml:space="preserve"> сельскохозяйственной продукции.</w:t>
      </w:r>
      <w:r/>
    </w:p>
    <w:p>
      <w:pPr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  <w:r/>
    </w:p>
    <w:p>
      <w:pPr>
        <w:spacing w:line="276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/>
    </w:p>
    <w:p>
      <w:pPr>
        <w:contextualSpacing/>
        <w:ind w:left="5670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/>
    </w:p>
    <w:p>
      <w:pPr>
        <w:contextualSpacing/>
        <w:ind w:left="5670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</w:t>
      </w:r>
      <w:r>
        <w:t xml:space="preserve"> </w:t>
      </w:r>
      <w:r>
        <w:rPr>
          <w:bCs/>
          <w:sz w:val="28"/>
          <w:szCs w:val="28"/>
        </w:rPr>
        <w:t xml:space="preserve">Требованиям </w:t>
      </w:r>
      <w:r/>
    </w:p>
    <w:p>
      <w:pPr>
        <w:contextualSpacing/>
        <w:ind w:left="5670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обращению побочных </w:t>
      </w:r>
      <w:r/>
    </w:p>
    <w:p>
      <w:pPr>
        <w:contextualSpacing/>
        <w:ind w:left="5670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продуктов животноводства</w:t>
      </w:r>
      <w:r/>
    </w:p>
    <w:p>
      <w:pPr>
        <w:contextualSpacing/>
        <w:ind w:firstLine="709"/>
        <w:jc w:val="right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contextualSpacing/>
        <w:ind w:firstLine="709"/>
        <w:jc w:val="right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</w:t>
      </w:r>
      <w:r/>
    </w:p>
    <w:p>
      <w:pPr>
        <w:contextualSpacing/>
        <w:ind w:firstLine="709"/>
        <w:jc w:val="right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/>
    </w:p>
    <w:tbl>
      <w:tblPr>
        <w:tblStyle w:val="724"/>
        <w:tblW w:w="9209" w:type="dxa"/>
        <w:tblLook w:val="04A0" w:firstRow="1" w:lastRow="0" w:firstColumn="1" w:lastColumn="0" w:noHBand="0" w:noVBand="1"/>
      </w:tblPr>
      <w:tblGrid>
        <w:gridCol w:w="704"/>
        <w:gridCol w:w="6467"/>
        <w:gridCol w:w="2038"/>
      </w:tblGrid>
      <w:tr>
        <w:trPr>
          <w:trHeight w:val="884"/>
        </w:trPr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п/п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показателя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Допустимая величина </w:t>
            </w:r>
            <w:r>
              <w:rPr>
                <w:bCs/>
                <w:sz w:val="26"/>
                <w:szCs w:val="26"/>
              </w:rPr>
              <w:t xml:space="preserve">показателя </w:t>
            </w:r>
            <w:r/>
          </w:p>
        </w:tc>
      </w:tr>
      <w:tr>
        <w:trPr>
          <w:trHeight w:val="2527"/>
        </w:trPr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Массовая концентрация примесей отдельных токсичных элементов (валовое содержание), мг/кг сухого вещества, не более: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свинца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кадмия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ртути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мышьяка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130,0</w:t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2,0</w:t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2,1</w:t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10,0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Гамма-изомер </w:t>
            </w:r>
            <w:r>
              <w:rPr>
                <w:bCs/>
                <w:sz w:val="26"/>
                <w:szCs w:val="26"/>
              </w:rPr>
              <w:t xml:space="preserve">гексахлорциклогексана</w:t>
            </w:r>
            <w:r>
              <w:rPr>
                <w:bCs/>
                <w:sz w:val="26"/>
                <w:szCs w:val="26"/>
              </w:rPr>
              <w:t xml:space="preserve"> (ГХЦГ)</w:t>
            </w:r>
            <w:r>
              <w:rPr>
                <w:bCs/>
                <w:sz w:val="26"/>
                <w:szCs w:val="26"/>
              </w:rPr>
              <w:t xml:space="preserve"> (сумма изомеров);</w:t>
            </w:r>
            <w:r/>
          </w:p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Д</w:t>
            </w:r>
            <w:r>
              <w:rPr>
                <w:bCs/>
                <w:sz w:val="26"/>
                <w:szCs w:val="26"/>
              </w:rPr>
              <w:t xml:space="preserve">ихлордифенилтрихлорэтан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</w:t>
            </w:r>
            <w:r>
              <w:rPr>
                <w:bCs/>
                <w:sz w:val="26"/>
                <w:szCs w:val="26"/>
              </w:rPr>
              <w:t xml:space="preserve">ДДТ</w:t>
            </w:r>
            <w:r>
              <w:rPr>
                <w:bCs/>
                <w:sz w:val="26"/>
                <w:szCs w:val="26"/>
              </w:rPr>
              <w:t xml:space="preserve">)</w:t>
            </w:r>
            <w:r>
              <w:rPr>
                <w:bCs/>
                <w:sz w:val="26"/>
                <w:szCs w:val="26"/>
              </w:rPr>
              <w:t xml:space="preserve"> и его метаболиты (суммарные количества)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0,1</w:t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0,1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Наличие патогенных и болезнетворных микроорганизмов, клеток/г, в том числе сальмонелл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 допускается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Наличие жизнеспособных яиц и личинок гельминтов, экз./кг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 допускается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</w:t>
            </w:r>
            <w:r/>
          </w:p>
        </w:tc>
        <w:tc>
          <w:tcPr>
            <w:tcW w:w="6467" w:type="dxa"/>
            <w:textDirection w:val="lrTb"/>
            <w:noWrap w:val="false"/>
          </w:tcPr>
          <w:p>
            <w:pPr>
              <w:contextualSpacing/>
              <w:jc w:val="both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Цисты кишечных патогенных простейших, экз./100 г</w:t>
            </w:r>
            <w:r/>
          </w:p>
        </w:tc>
        <w:tc>
          <w:tcPr>
            <w:tcW w:w="2038" w:type="dxa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widowControl w:val="off"/>
              <w:tabs>
                <w:tab w:val="left" w:pos="99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Не до</w:t>
            </w:r>
            <w:r>
              <w:rPr>
                <w:bCs/>
                <w:sz w:val="26"/>
                <w:szCs w:val="26"/>
              </w:rPr>
              <w:t xml:space="preserve">п</w:t>
            </w:r>
            <w:r>
              <w:rPr>
                <w:bCs/>
                <w:sz w:val="26"/>
                <w:szCs w:val="26"/>
              </w:rPr>
              <w:t xml:space="preserve">ускается</w:t>
            </w:r>
            <w:r/>
          </w:p>
        </w:tc>
      </w:tr>
    </w:tbl>
    <w:p>
      <w:pPr>
        <w:contextualSpacing/>
        <w:ind w:firstLine="709"/>
        <w:jc w:val="both"/>
        <w:spacing w:line="276" w:lineRule="auto"/>
        <w:widowControl w:val="off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5" w:h="16838" w:orient="portrait"/>
      <w:pgMar w:top="1134" w:right="1134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ahoma">
    <w:panose1 w:val="020B0506030602030204"/>
  </w:font>
  <w:font w:name="MS Mincho">
    <w:panose1 w:val="02020603050405090304"/>
  </w:font>
  <w:font w:name="F">
    <w:panose1 w:val="02020603020101020101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42"/>
      </w:pPr>
      <w:r>
        <w:rPr>
          <w:rStyle w:val="744"/>
        </w:rPr>
        <w:footnoteRef/>
      </w:r>
      <w:r>
        <w:t xml:space="preserve"> </w:t>
      </w:r>
      <w:r>
        <w:t xml:space="preserve">Статья 67 Федерального закона от 10.01.2002 № 7-ФЗ «Об охране окружающей среды»</w:t>
      </w:r>
      <w:r/>
    </w:p>
  </w:footnote>
  <w:footnote w:id="3">
    <w:p>
      <w:pPr>
        <w:pStyle w:val="742"/>
        <w:jc w:val="both"/>
      </w:pPr>
      <w:r>
        <w:rPr>
          <w:rStyle w:val="744"/>
        </w:rPr>
        <w:footnoteRef/>
      </w:r>
      <w:r>
        <w:t xml:space="preserve"> </w:t>
      </w:r>
      <w:r>
        <w:t xml:space="preserve">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4369; 2018, № 53, ст. 8450).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721"/>
      </w:rPr>
      <w:framePr w:wrap="around" w:vAnchor="text" w:hAnchor="margin" w:xAlign="center" w:y="1"/>
    </w:pPr>
    <w:r>
      <w:rPr>
        <w:rStyle w:val="721"/>
      </w:rPr>
      <w:fldChar w:fldCharType="begin"/>
    </w:r>
    <w:r>
      <w:rPr>
        <w:rStyle w:val="721"/>
      </w:rPr>
      <w:instrText xml:space="preserve">PAGE  </w:instrText>
    </w:r>
    <w:r>
      <w:rPr>
        <w:rStyle w:val="721"/>
      </w:rPr>
      <w:fldChar w:fldCharType="separate"/>
    </w:r>
    <w:r>
      <w:rPr>
        <w:rStyle w:val="721"/>
      </w:rPr>
      <w:t xml:space="preserve">7</w:t>
    </w:r>
    <w:r>
      <w:rPr>
        <w:rStyle w:val="721"/>
      </w:rPr>
      <w:fldChar w:fldCharType="end"/>
    </w:r>
    <w:r/>
  </w:p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Style w:val="721"/>
      </w:rPr>
      <w:framePr w:wrap="around" w:vAnchor="text" w:hAnchor="margin" w:xAlign="center" w:y="1"/>
    </w:pPr>
    <w:r>
      <w:rPr>
        <w:rStyle w:val="721"/>
      </w:rPr>
      <w:fldChar w:fldCharType="begin"/>
    </w:r>
    <w:r>
      <w:rPr>
        <w:rStyle w:val="721"/>
      </w:rPr>
      <w:instrText xml:space="preserve">PAGE  </w:instrText>
    </w:r>
    <w:r>
      <w:rPr>
        <w:rStyle w:val="721"/>
      </w:rPr>
      <w:fldChar w:fldCharType="separate"/>
    </w:r>
    <w:r>
      <w:rPr>
        <w:rStyle w:val="721"/>
      </w:rPr>
      <w:t xml:space="preserve">2</w:t>
    </w:r>
    <w:r>
      <w:rPr>
        <w:rStyle w:val="721"/>
      </w:rPr>
      <w:fldChar w:fldCharType="end"/>
    </w:r>
    <w:r/>
  </w:p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4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MS Mincho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4"/>
    <w:link w:val="71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2"/>
    <w:next w:val="7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2"/>
    <w:next w:val="7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2"/>
    <w:next w:val="7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2"/>
    <w:next w:val="7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2"/>
    <w:next w:val="7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2"/>
    <w:next w:val="7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2"/>
    <w:next w:val="7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2"/>
    <w:next w:val="7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12"/>
    <w:next w:val="7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14"/>
    <w:link w:val="32"/>
    <w:uiPriority w:val="10"/>
    <w:rPr>
      <w:sz w:val="48"/>
      <w:szCs w:val="48"/>
    </w:rPr>
  </w:style>
  <w:style w:type="paragraph" w:styleId="34">
    <w:name w:val="Subtitle"/>
    <w:basedOn w:val="712"/>
    <w:next w:val="7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4"/>
    <w:link w:val="34"/>
    <w:uiPriority w:val="11"/>
    <w:rPr>
      <w:sz w:val="24"/>
      <w:szCs w:val="24"/>
    </w:rPr>
  </w:style>
  <w:style w:type="paragraph" w:styleId="36">
    <w:name w:val="Quote"/>
    <w:basedOn w:val="712"/>
    <w:next w:val="7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2"/>
    <w:next w:val="7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4"/>
    <w:link w:val="720"/>
    <w:uiPriority w:val="99"/>
  </w:style>
  <w:style w:type="character" w:styleId="43">
    <w:name w:val="Footer Char"/>
    <w:basedOn w:val="714"/>
    <w:link w:val="730"/>
    <w:uiPriority w:val="99"/>
  </w:style>
  <w:style w:type="paragraph" w:styleId="44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0"/>
    <w:uiPriority w:val="99"/>
  </w:style>
  <w:style w:type="table" w:styleId="47">
    <w:name w:val="Table Grid Light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42"/>
    <w:uiPriority w:val="99"/>
    <w:rPr>
      <w:sz w:val="18"/>
    </w:rPr>
  </w:style>
  <w:style w:type="character" w:styleId="177">
    <w:name w:val="Endnote Text Char"/>
    <w:link w:val="739"/>
    <w:uiPriority w:val="99"/>
    <w:rPr>
      <w:sz w:val="20"/>
    </w:rPr>
  </w:style>
  <w:style w:type="paragraph" w:styleId="179">
    <w:name w:val="toc 1"/>
    <w:basedOn w:val="712"/>
    <w:next w:val="7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2"/>
    <w:next w:val="7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2"/>
    <w:next w:val="7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2"/>
    <w:next w:val="7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2"/>
    <w:next w:val="7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2"/>
    <w:next w:val="7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2"/>
    <w:next w:val="7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2"/>
    <w:next w:val="7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2"/>
    <w:next w:val="7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rPr>
      <w:sz w:val="24"/>
      <w:szCs w:val="24"/>
      <w:lang w:eastAsia="ja-JP"/>
    </w:rPr>
  </w:style>
  <w:style w:type="paragraph" w:styleId="713">
    <w:name w:val="Heading 1"/>
    <w:basedOn w:val="712"/>
    <w:next w:val="712"/>
    <w:link w:val="717"/>
    <w:qFormat/>
    <w:pPr>
      <w:jc w:val="center"/>
      <w:keepNext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Заголовок 1 Знак"/>
    <w:link w:val="713"/>
    <w:rPr>
      <w:rFonts w:eastAsia="Arial Unicode MS"/>
      <w:b/>
      <w:bCs/>
      <w:sz w:val="28"/>
      <w:szCs w:val="28"/>
      <w:lang w:val="ru-RU" w:bidi="ar-SA" w:eastAsia="ru-RU"/>
    </w:rPr>
  </w:style>
  <w:style w:type="paragraph" w:styleId="718" w:customStyle="1">
    <w:name w:val="ConsPlusNormal"/>
    <w:pPr>
      <w:ind w:firstLine="720"/>
      <w:widowControl w:val="off"/>
    </w:pPr>
    <w:rPr>
      <w:rFonts w:ascii="Arial" w:hAnsi="Arial" w:cs="Arial" w:eastAsia="Times New Roman"/>
    </w:rPr>
  </w:style>
  <w:style w:type="paragraph" w:styleId="719" w:customStyle="1">
    <w:name w:val="ConsPlusTitle"/>
    <w:pPr>
      <w:widowControl w:val="off"/>
    </w:pPr>
    <w:rPr>
      <w:rFonts w:ascii="Arial" w:hAnsi="Arial" w:cs="Arial" w:eastAsia="Times New Roman"/>
      <w:b/>
      <w:bCs/>
    </w:rPr>
  </w:style>
  <w:style w:type="paragraph" w:styleId="720">
    <w:name w:val="Header"/>
    <w:basedOn w:val="712"/>
    <w:pPr>
      <w:tabs>
        <w:tab w:val="center" w:pos="4677" w:leader="none"/>
        <w:tab w:val="right" w:pos="9355" w:leader="none"/>
      </w:tabs>
    </w:pPr>
  </w:style>
  <w:style w:type="character" w:styleId="721">
    <w:name w:val="page number"/>
    <w:basedOn w:val="714"/>
  </w:style>
  <w:style w:type="paragraph" w:styleId="722">
    <w:name w:val="Balloon Text"/>
    <w:basedOn w:val="712"/>
    <w:link w:val="723"/>
    <w:rPr>
      <w:rFonts w:ascii="Tahoma" w:hAnsi="Tahoma" w:cs="Tahoma"/>
      <w:sz w:val="16"/>
      <w:szCs w:val="16"/>
    </w:rPr>
  </w:style>
  <w:style w:type="character" w:styleId="723" w:customStyle="1">
    <w:name w:val="Текст выноски Знак"/>
    <w:link w:val="722"/>
    <w:rPr>
      <w:rFonts w:ascii="Tahoma" w:hAnsi="Tahoma" w:cs="Tahoma"/>
      <w:sz w:val="16"/>
      <w:szCs w:val="16"/>
      <w:lang w:eastAsia="ja-JP"/>
    </w:rPr>
  </w:style>
  <w:style w:type="table" w:styleId="724">
    <w:name w:val="Table Grid"/>
    <w:basedOn w:val="71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25" w:customStyle="1">
    <w:name w:val="Основной текст_"/>
    <w:basedOn w:val="714"/>
    <w:link w:val="726"/>
    <w:rPr>
      <w:rFonts w:eastAsia="Times New Roman"/>
      <w:spacing w:val="11"/>
      <w:sz w:val="23"/>
      <w:szCs w:val="23"/>
      <w:shd w:val="clear" w:color="auto" w:fill="ffffff"/>
    </w:rPr>
  </w:style>
  <w:style w:type="paragraph" w:styleId="726" w:customStyle="1">
    <w:name w:val="Основной текст3"/>
    <w:basedOn w:val="712"/>
    <w:link w:val="725"/>
    <w:pPr>
      <w:ind w:hanging="2000"/>
      <w:spacing w:after="180" w:line="367" w:lineRule="exact"/>
      <w:shd w:val="clear" w:color="auto" w:fill="ffffff"/>
      <w:widowControl w:val="off"/>
    </w:pPr>
    <w:rPr>
      <w:rFonts w:eastAsia="Times New Roman"/>
      <w:spacing w:val="11"/>
      <w:sz w:val="23"/>
      <w:szCs w:val="23"/>
      <w:lang w:eastAsia="ru-RU"/>
    </w:rPr>
  </w:style>
  <w:style w:type="paragraph" w:styleId="727">
    <w:name w:val="Normal (Web)"/>
    <w:basedOn w:val="712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728" w:customStyle="1">
    <w:name w:val="w9"/>
    <w:basedOn w:val="714"/>
  </w:style>
  <w:style w:type="paragraph" w:styleId="729">
    <w:name w:val="List Paragraph"/>
    <w:basedOn w:val="712"/>
    <w:uiPriority w:val="34"/>
    <w:qFormat/>
    <w:pPr>
      <w:contextualSpacing/>
      <w:ind w:left="720"/>
    </w:pPr>
  </w:style>
  <w:style w:type="paragraph" w:styleId="730">
    <w:name w:val="Footer"/>
    <w:basedOn w:val="712"/>
    <w:link w:val="731"/>
    <w:unhideWhenUsed/>
    <w:pPr>
      <w:tabs>
        <w:tab w:val="center" w:pos="4677" w:leader="none"/>
        <w:tab w:val="right" w:pos="9355" w:leader="none"/>
      </w:tabs>
    </w:pPr>
  </w:style>
  <w:style w:type="character" w:styleId="731" w:customStyle="1">
    <w:name w:val="Нижний колонтитул Знак"/>
    <w:basedOn w:val="714"/>
    <w:link w:val="730"/>
    <w:rPr>
      <w:sz w:val="24"/>
      <w:szCs w:val="24"/>
      <w:lang w:eastAsia="ja-JP"/>
    </w:rPr>
  </w:style>
  <w:style w:type="character" w:styleId="732">
    <w:name w:val="Hyperlink"/>
    <w:basedOn w:val="714"/>
    <w:unhideWhenUsed/>
    <w:rPr>
      <w:color w:val="0000FF" w:themeColor="hyperlink"/>
      <w:u w:val="single"/>
    </w:rPr>
  </w:style>
  <w:style w:type="character" w:styleId="733">
    <w:name w:val="annotation reference"/>
    <w:basedOn w:val="714"/>
    <w:semiHidden/>
    <w:unhideWhenUsed/>
    <w:rPr>
      <w:sz w:val="16"/>
      <w:szCs w:val="16"/>
    </w:rPr>
  </w:style>
  <w:style w:type="paragraph" w:styleId="734">
    <w:name w:val="annotation text"/>
    <w:basedOn w:val="712"/>
    <w:link w:val="735"/>
    <w:semiHidden/>
    <w:unhideWhenUsed/>
    <w:rPr>
      <w:sz w:val="20"/>
      <w:szCs w:val="20"/>
    </w:rPr>
  </w:style>
  <w:style w:type="character" w:styleId="735" w:customStyle="1">
    <w:name w:val="Текст примечания Знак"/>
    <w:basedOn w:val="714"/>
    <w:link w:val="734"/>
    <w:semiHidden/>
    <w:rPr>
      <w:lang w:eastAsia="ja-JP"/>
    </w:rPr>
  </w:style>
  <w:style w:type="paragraph" w:styleId="736">
    <w:name w:val="annotation subject"/>
    <w:basedOn w:val="734"/>
    <w:next w:val="734"/>
    <w:link w:val="737"/>
    <w:semiHidden/>
    <w:unhideWhenUsed/>
    <w:rPr>
      <w:b/>
      <w:bCs/>
    </w:rPr>
  </w:style>
  <w:style w:type="character" w:styleId="737" w:customStyle="1">
    <w:name w:val="Тема примечания Знак"/>
    <w:basedOn w:val="735"/>
    <w:link w:val="736"/>
    <w:semiHidden/>
    <w:rPr>
      <w:b/>
      <w:bCs/>
      <w:lang w:eastAsia="ja-JP"/>
    </w:rPr>
  </w:style>
  <w:style w:type="paragraph" w:styleId="738" w:customStyle="1">
    <w:name w:val="Standard"/>
    <w:pPr>
      <w:spacing w:after="200" w:line="276" w:lineRule="auto"/>
    </w:pPr>
    <w:rPr>
      <w:rFonts w:ascii="Calibri" w:hAnsi="Calibri" w:cs="F" w:eastAsia="SimSun"/>
      <w:sz w:val="22"/>
      <w:szCs w:val="22"/>
      <w:lang w:eastAsia="en-US"/>
    </w:rPr>
  </w:style>
  <w:style w:type="paragraph" w:styleId="739">
    <w:name w:val="endnote text"/>
    <w:basedOn w:val="712"/>
    <w:link w:val="740"/>
    <w:semiHidden/>
    <w:unhideWhenUsed/>
    <w:rPr>
      <w:sz w:val="20"/>
      <w:szCs w:val="20"/>
    </w:rPr>
  </w:style>
  <w:style w:type="character" w:styleId="740" w:customStyle="1">
    <w:name w:val="Текст концевой сноски Знак"/>
    <w:basedOn w:val="714"/>
    <w:link w:val="739"/>
    <w:semiHidden/>
    <w:rPr>
      <w:lang w:eastAsia="ja-JP"/>
    </w:rPr>
  </w:style>
  <w:style w:type="character" w:styleId="741">
    <w:name w:val="endnote reference"/>
    <w:basedOn w:val="714"/>
    <w:semiHidden/>
    <w:unhideWhenUsed/>
    <w:rPr>
      <w:vertAlign w:val="superscript"/>
    </w:rPr>
  </w:style>
  <w:style w:type="paragraph" w:styleId="742">
    <w:name w:val="footnote text"/>
    <w:basedOn w:val="712"/>
    <w:link w:val="743"/>
    <w:semiHidden/>
    <w:unhideWhenUsed/>
    <w:rPr>
      <w:sz w:val="20"/>
      <w:szCs w:val="20"/>
    </w:rPr>
  </w:style>
  <w:style w:type="character" w:styleId="743" w:customStyle="1">
    <w:name w:val="Текст сноски Знак"/>
    <w:basedOn w:val="714"/>
    <w:link w:val="742"/>
    <w:semiHidden/>
    <w:rPr>
      <w:lang w:eastAsia="ja-JP"/>
    </w:rPr>
  </w:style>
  <w:style w:type="character" w:styleId="744">
    <w:name w:val="footnote reference"/>
    <w:basedOn w:val="714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3E1CDF9-B37D-4361-8696-845626C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u.gorunova</dc:creator>
  <cp:lastModifiedBy>Анна Иглицына</cp:lastModifiedBy>
  <cp:revision>10</cp:revision>
  <dcterms:created xsi:type="dcterms:W3CDTF">2022-07-13T06:56:00Z</dcterms:created>
  <dcterms:modified xsi:type="dcterms:W3CDTF">2022-07-14T10:01:04Z</dcterms:modified>
</cp:coreProperties>
</file>