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2093"/>
        <w:gridCol w:w="1800"/>
        <w:gridCol w:w="3097"/>
        <w:gridCol w:w="2738"/>
        <w:gridCol w:w="236"/>
        <w:gridCol w:w="236"/>
      </w:tblGrid>
      <w:tr w:rsidR="002653C4" w14:paraId="71010A16" w14:textId="77777777" w:rsidTr="002653C4">
        <w:trPr>
          <w:trHeight w:val="998"/>
        </w:trPr>
        <w:tc>
          <w:tcPr>
            <w:tcW w:w="2096" w:type="dxa"/>
            <w:shd w:val="clear" w:color="auto" w:fill="auto"/>
          </w:tcPr>
          <w:p w14:paraId="79F0ACD6" w14:textId="77777777" w:rsidR="00E24280" w:rsidRDefault="00E90343" w:rsidP="000F01D8">
            <w:pPr>
              <w:spacing w:after="0" w:line="288" w:lineRule="auto"/>
              <w:jc w:val="both"/>
              <w:rPr>
                <w:rFonts w:ascii="PT Sans" w:hAnsi="PT Sans"/>
                <w:bCs/>
                <w:sz w:val="18"/>
                <w:szCs w:val="24"/>
                <w:highlight w:val="yellow"/>
              </w:rPr>
            </w:pPr>
            <w:r>
              <w:rPr>
                <w:rFonts w:ascii="PT Sans" w:hAnsi="PT Sans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1CD7B775" wp14:editId="1AA5D541">
                  <wp:extent cx="1211580" cy="792480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auto"/>
          </w:tcPr>
          <w:p w14:paraId="21238687" w14:textId="7781ED3F" w:rsidR="00E24280" w:rsidRDefault="00E90343" w:rsidP="000F01D8">
            <w:pPr>
              <w:spacing w:after="0" w:line="288" w:lineRule="auto"/>
              <w:jc w:val="both"/>
              <w:rPr>
                <w:rFonts w:ascii="PT Sans" w:hAnsi="PT Sans"/>
                <w:bCs/>
                <w:sz w:val="18"/>
                <w:szCs w:val="24"/>
                <w:highlight w:val="yellow"/>
              </w:rPr>
            </w:pPr>
            <w:r>
              <w:rPr>
                <w:rFonts w:ascii="PT Sans" w:hAnsi="PT San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2D89B" wp14:editId="0D6CA2C8">
                  <wp:extent cx="1021080" cy="125730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shd w:val="clear" w:color="auto" w:fill="auto"/>
          </w:tcPr>
          <w:p w14:paraId="6AECBB63" w14:textId="60C7EDD9" w:rsidR="00E24280" w:rsidRDefault="00E90343" w:rsidP="000F01D8">
            <w:pPr>
              <w:shd w:val="clear" w:color="auto" w:fill="FFFFFF"/>
              <w:spacing w:after="360" w:line="240" w:lineRule="auto"/>
              <w:jc w:val="both"/>
              <w:outlineLvl w:val="2"/>
              <w:rPr>
                <w:rFonts w:ascii="PT Sans" w:hAnsi="PT Sans"/>
                <w:bCs/>
                <w:sz w:val="18"/>
                <w:szCs w:val="24"/>
                <w:highlight w:val="yellow"/>
              </w:rPr>
            </w:pPr>
            <w:r>
              <w:rPr>
                <w:rFonts w:ascii="PT Sans" w:eastAsia="Times New Roman" w:hAnsi="PT Sans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24595" wp14:editId="3BD41529">
                  <wp:extent cx="1871345" cy="121031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698" cy="12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Sans" w:hAnsi="PT Sans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523C89EE" wp14:editId="77844699">
                  <wp:extent cx="1325880" cy="8763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  <w:shd w:val="clear" w:color="auto" w:fill="auto"/>
          </w:tcPr>
          <w:p w14:paraId="4F062299" w14:textId="77777777" w:rsidR="002653C4" w:rsidRDefault="00E90343" w:rsidP="000F01D8">
            <w:pPr>
              <w:spacing w:after="0" w:line="288" w:lineRule="auto"/>
              <w:jc w:val="both"/>
              <w:rPr>
                <w:rFonts w:ascii="PT Sans" w:hAnsi="PT Sans"/>
                <w:bCs/>
                <w:sz w:val="18"/>
                <w:szCs w:val="24"/>
              </w:rPr>
            </w:pPr>
            <w:r>
              <w:rPr>
                <w:rFonts w:ascii="PT Sans" w:hAnsi="PT Sans"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2895654D" wp14:editId="065C0F6C">
                  <wp:extent cx="1638300" cy="861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63" t="21094" r="22435" b="21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7A4EF" w14:textId="77777777" w:rsidR="002653C4" w:rsidRDefault="002653C4" w:rsidP="000F01D8">
            <w:pPr>
              <w:spacing w:after="0" w:line="288" w:lineRule="auto"/>
              <w:jc w:val="both"/>
              <w:rPr>
                <w:rFonts w:ascii="PT Sans" w:hAnsi="PT Sans"/>
                <w:bCs/>
                <w:sz w:val="18"/>
                <w:szCs w:val="24"/>
              </w:rPr>
            </w:pPr>
          </w:p>
          <w:p w14:paraId="2DAF2C41" w14:textId="77777777" w:rsidR="002653C4" w:rsidRDefault="002653C4" w:rsidP="000F01D8">
            <w:pPr>
              <w:spacing w:after="0" w:line="288" w:lineRule="auto"/>
              <w:jc w:val="both"/>
              <w:rPr>
                <w:rFonts w:ascii="PT Sans" w:hAnsi="PT Sans"/>
                <w:bCs/>
                <w:sz w:val="18"/>
                <w:szCs w:val="24"/>
              </w:rPr>
            </w:pPr>
          </w:p>
          <w:p w14:paraId="16DDB6B5" w14:textId="3CCA085A" w:rsidR="00E24280" w:rsidRDefault="002653C4" w:rsidP="000F01D8">
            <w:pPr>
              <w:spacing w:after="0" w:line="288" w:lineRule="auto"/>
              <w:jc w:val="both"/>
              <w:rPr>
                <w:rFonts w:ascii="PT Sans" w:hAnsi="PT Sans"/>
                <w:bCs/>
                <w:sz w:val="18"/>
                <w:szCs w:val="24"/>
                <w:highlight w:val="yellow"/>
              </w:rPr>
            </w:pPr>
            <w:r>
              <w:rPr>
                <w:rFonts w:ascii="PT Sans" w:hAnsi="PT Sans"/>
                <w:bCs/>
                <w:noProof/>
                <w:sz w:val="18"/>
                <w:szCs w:val="24"/>
                <w:lang w:eastAsia="ru-RU"/>
              </w:rPr>
              <w:drawing>
                <wp:inline distT="0" distB="0" distL="0" distR="0" wp14:anchorId="79BA8672" wp14:editId="03C4CAAA">
                  <wp:extent cx="1450209" cy="9804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АТП На прозрачном фоне atr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22" cy="101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52B70D67" w14:textId="77777777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Cs/>
                <w:sz w:val="18"/>
                <w:szCs w:val="24"/>
                <w:highlight w:val="yellow"/>
              </w:rPr>
            </w:pPr>
          </w:p>
        </w:tc>
        <w:tc>
          <w:tcPr>
            <w:tcW w:w="222" w:type="dxa"/>
            <w:shd w:val="clear" w:color="auto" w:fill="auto"/>
          </w:tcPr>
          <w:p w14:paraId="538A057A" w14:textId="2785E4DE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Cs/>
                <w:sz w:val="18"/>
                <w:szCs w:val="24"/>
                <w:highlight w:val="yellow"/>
              </w:rPr>
            </w:pPr>
          </w:p>
        </w:tc>
      </w:tr>
      <w:tr w:rsidR="002653C4" w14:paraId="79A3CD9A" w14:textId="77777777" w:rsidTr="002653C4">
        <w:trPr>
          <w:trHeight w:val="1489"/>
        </w:trPr>
        <w:tc>
          <w:tcPr>
            <w:tcW w:w="2096" w:type="dxa"/>
            <w:shd w:val="clear" w:color="auto" w:fill="auto"/>
          </w:tcPr>
          <w:p w14:paraId="4FECD5FE" w14:textId="77777777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/>
                <w:sz w:val="24"/>
                <w:szCs w:val="24"/>
              </w:rPr>
            </w:pPr>
          </w:p>
          <w:p w14:paraId="4BDA4F9C" w14:textId="77777777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112CE173" w14:textId="77777777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</w:tcPr>
          <w:p w14:paraId="01D1C116" w14:textId="31349134" w:rsidR="00E24280" w:rsidRDefault="00E24280" w:rsidP="000F01D8">
            <w:pPr>
              <w:shd w:val="clear" w:color="auto" w:fill="FFFFFF"/>
              <w:spacing w:after="360" w:line="240" w:lineRule="auto"/>
              <w:jc w:val="both"/>
              <w:outlineLvl w:val="2"/>
              <w:rPr>
                <w:rFonts w:ascii="PT Sans" w:eastAsia="Times New Roman" w:hAnsi="PT Sans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shd w:val="clear" w:color="auto" w:fill="auto"/>
          </w:tcPr>
          <w:p w14:paraId="66E92755" w14:textId="06990F82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/>
                <w:sz w:val="24"/>
                <w:szCs w:val="24"/>
              </w:rPr>
            </w:pPr>
          </w:p>
          <w:p w14:paraId="1996C685" w14:textId="557C2EA4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84A903E" w14:textId="77777777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F8C6FA4" w14:textId="77777777" w:rsidR="00E24280" w:rsidRDefault="00E24280" w:rsidP="000F01D8">
            <w:pPr>
              <w:spacing w:after="0" w:line="288" w:lineRule="auto"/>
              <w:jc w:val="both"/>
              <w:rPr>
                <w:rFonts w:ascii="PT Sans" w:hAnsi="PT Sans"/>
                <w:b/>
                <w:bCs/>
                <w:sz w:val="28"/>
                <w:szCs w:val="24"/>
                <w:highlight w:val="yellow"/>
              </w:rPr>
            </w:pPr>
          </w:p>
        </w:tc>
      </w:tr>
    </w:tbl>
    <w:p w14:paraId="1C1383DC" w14:textId="77777777" w:rsidR="00E24280" w:rsidRDefault="00E24280" w:rsidP="000F01D8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33B64C97" w14:textId="77777777" w:rsidR="00E24280" w:rsidRDefault="00E24280" w:rsidP="000F01D8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73A50323" w14:textId="77777777" w:rsidR="00E24280" w:rsidRDefault="00E90343" w:rsidP="000F01D8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Межотраслевой</w:t>
      </w:r>
    </w:p>
    <w:p w14:paraId="1C763E18" w14:textId="77777777" w:rsidR="00E24280" w:rsidRPr="000F01D8" w:rsidRDefault="00E90343" w:rsidP="000F01D8">
      <w:pPr>
        <w:spacing w:after="0"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F01D8">
        <w:rPr>
          <w:rFonts w:ascii="Times New Roman" w:hAnsi="Times New Roman"/>
          <w:b/>
          <w:bCs/>
          <w:sz w:val="32"/>
          <w:szCs w:val="32"/>
        </w:rPr>
        <w:t>МЕМОРАНДУМ</w:t>
      </w:r>
    </w:p>
    <w:p w14:paraId="7F38D33D" w14:textId="77777777" w:rsidR="00E24280" w:rsidRDefault="00E90343" w:rsidP="000F01D8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о необходимости совершенствования требований законодательства в области обращения с отходами от использования товаров и упаковки</w:t>
      </w:r>
    </w:p>
    <w:p w14:paraId="420CD807" w14:textId="77777777" w:rsidR="00E24280" w:rsidRDefault="00E24280" w:rsidP="000F01D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C84A9B" w14:textId="77777777" w:rsidR="00E24280" w:rsidRDefault="00E24280" w:rsidP="000F01D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E2C969" w14:textId="26D4EFEE" w:rsidR="00E24280" w:rsidRDefault="00E90343" w:rsidP="000F01D8">
      <w:pPr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г. Москва </w:t>
      </w:r>
      <w:r w:rsidR="00630C45">
        <w:rPr>
          <w:rFonts w:ascii="Times New Roman" w:hAnsi="Times New Roman"/>
          <w:b/>
          <w:bCs/>
          <w:sz w:val="24"/>
          <w:szCs w:val="24"/>
        </w:rPr>
        <w:tab/>
      </w:r>
      <w:r w:rsidR="00630C45">
        <w:rPr>
          <w:rFonts w:ascii="Times New Roman" w:hAnsi="Times New Roman"/>
          <w:b/>
          <w:bCs/>
          <w:sz w:val="24"/>
          <w:szCs w:val="24"/>
        </w:rPr>
        <w:tab/>
      </w:r>
      <w:r w:rsidR="00630C45">
        <w:rPr>
          <w:rFonts w:ascii="Times New Roman" w:hAnsi="Times New Roman"/>
          <w:b/>
          <w:bCs/>
          <w:sz w:val="24"/>
          <w:szCs w:val="24"/>
        </w:rPr>
        <w:tab/>
      </w:r>
      <w:r w:rsidR="00630C45">
        <w:rPr>
          <w:rFonts w:ascii="Times New Roman" w:hAnsi="Times New Roman"/>
          <w:b/>
          <w:bCs/>
          <w:sz w:val="24"/>
          <w:szCs w:val="24"/>
        </w:rPr>
        <w:tab/>
      </w:r>
      <w:r w:rsidR="00630C45">
        <w:rPr>
          <w:rFonts w:ascii="Times New Roman" w:hAnsi="Times New Roman"/>
          <w:b/>
          <w:bCs/>
          <w:sz w:val="24"/>
          <w:szCs w:val="24"/>
        </w:rPr>
        <w:tab/>
      </w:r>
      <w:r w:rsidR="00630C4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0F01D8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F01D8">
        <w:rPr>
          <w:rFonts w:ascii="Times New Roman" w:hAnsi="Times New Roman"/>
          <w:b/>
          <w:bCs/>
          <w:sz w:val="24"/>
          <w:szCs w:val="24"/>
        </w:rPr>
        <w:t>но</w:t>
      </w:r>
      <w:r>
        <w:rPr>
          <w:rFonts w:ascii="Times New Roman" w:hAnsi="Times New Roman"/>
          <w:b/>
          <w:bCs/>
          <w:sz w:val="24"/>
          <w:szCs w:val="24"/>
        </w:rPr>
        <w:t>ября 2024 года</w:t>
      </w:r>
    </w:p>
    <w:p w14:paraId="4655CEB0" w14:textId="77777777" w:rsidR="00E24280" w:rsidRDefault="00E24280" w:rsidP="000F01D8">
      <w:pPr>
        <w:jc w:val="both"/>
      </w:pPr>
    </w:p>
    <w:p w14:paraId="64E704FC" w14:textId="77777777" w:rsidR="00E24280" w:rsidRDefault="00E24280" w:rsidP="000F01D8">
      <w:pPr>
        <w:jc w:val="both"/>
      </w:pPr>
    </w:p>
    <w:p w14:paraId="0DB72997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Меморандум подписан с целью организации межотраслевой деятельности по реализации института расширенной ответственности производителей товаров и упаковки (далее – РОП, производители) и повышения эффективности взаимодействия производителей с органами государственной власти, иными заинтересованными сторонами в целях эффективного совершенствования РОП. </w:t>
      </w:r>
    </w:p>
    <w:p w14:paraId="46C34ADD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необходимости совместной работы сформировано по результатам межотраслевых обсуждений законодательства, практического опыта реализации механизма РОП в рамках ранее действующего законодательства, сравнительного анализа и отраслевых экспертных оценок продуктивности реализации актуализированного с 2024 года законодательства о РОП, лучших мировых практик. </w:t>
      </w:r>
    </w:p>
    <w:p w14:paraId="4D1BE54A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формировании Меморандума Стороны исходят из безусловной необходимости достижения национальных целей в области экологического благополучия, соблюдения всего комплекса требований международного и национального законодательств, при этом приоритетно рассматривают цели РОП, и решение задач по следующим направлениям: </w:t>
      </w:r>
    </w:p>
    <w:p w14:paraId="42381C07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экономики замкнутого цикла, опирающейся в том числе на предотвращение образования отходов,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экодизайна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 и продление срока службы и сроков годности товаров;</w:t>
      </w:r>
    </w:p>
    <w:p w14:paraId="7D9811B4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эффективной модели обращения с отходами, базирующейся на основных принципах государственной политики в области обращения с отходами; </w:t>
      </w:r>
    </w:p>
    <w:p w14:paraId="4DEC2C70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разработка, реализация, развитие механизмов вовлечения отходов, образующихся у населения, в хозяйственный оборот, включая создание эффективных систем раздельного накопления отходов (РНО);</w:t>
      </w:r>
    </w:p>
    <w:p w14:paraId="78719CE0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промышленного потенциала страны, в том числе с использованием обрабатывающими производствами вторичных ресурсов и вторичного сырья на основе имеющихся мощностей; определение статуса и обязательств заготовителей вторичных ресурсов и вторичного сырья; </w:t>
      </w:r>
    </w:p>
    <w:p w14:paraId="399C3590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принципов равных рыночных условий и развитие здоровой конкуренции среди предприятий - участников РОП, путем исключения механизмов искусственного влияния на цены упаковочных материалов и самой упаковки.</w:t>
      </w:r>
    </w:p>
    <w:p w14:paraId="38BF9647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F4E7C7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договорились следовать принципам открытости в отношении формирования межотраслевых предложений по совершенствованию законодательства о РОП. </w:t>
      </w:r>
    </w:p>
    <w:p w14:paraId="566C89CB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C13B009" w14:textId="728237E2" w:rsidR="00E24280" w:rsidRDefault="00E90343" w:rsidP="00981AB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Меморандум является межотраслевым соглашением сторон и подлежит опубликованию в СМИ (по согласованию Сторон). </w:t>
      </w:r>
    </w:p>
    <w:p w14:paraId="3A54FB2C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349FC6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 межотраслевого соглашения</w:t>
      </w:r>
    </w:p>
    <w:p w14:paraId="5F75CF12" w14:textId="2E1BE2E0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объединяет позиции отраслей промышленности производителей товаров и упаковки, в отношении которых законодательством установлена обязанность по утилизации после утраты такими товарами и упаковкой их потребительских свойств (далее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– Стороны). Стороны считают необходимым учитывать отраслевые особенности при государственном регулировании деятельности в области утилизации ОИТ, обусловленные различиями технологических процессов по производству продукции в каждой отрасли и особенностями применения в этих процессах вторичного сырья, полученного из ОИТ, а также специальными требованиями к нему. </w:t>
      </w:r>
    </w:p>
    <w:p w14:paraId="4595D4E2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378E">
        <w:rPr>
          <w:rFonts w:ascii="Times New Roman" w:hAnsi="Times New Roman" w:cs="Times New Roman"/>
          <w:b/>
          <w:bCs/>
          <w:sz w:val="24"/>
          <w:szCs w:val="24"/>
        </w:rPr>
        <w:t>Координатором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положений настоящего Меморандума является российский Союз переработчиков пластмасс. </w:t>
      </w:r>
    </w:p>
    <w:p w14:paraId="2014B8CC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B1EAAB1" w14:textId="52053DAC" w:rsidR="00E24280" w:rsidRPr="000F01D8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совершенствования законодательства </w:t>
      </w:r>
    </w:p>
    <w:p w14:paraId="528706CA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меморандума считают, что законодательство о РОП необходимо доработать по направлениям:</w:t>
      </w:r>
    </w:p>
    <w:p w14:paraId="211C5FF5" w14:textId="357C02E2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исключить неоднозначность толкований при идентификации упаковки для целей РОП. Использовать для целей РОП существующие нормативные документы в области упаковки </w:t>
      </w:r>
      <w:r w:rsidR="0082378E">
        <w:rPr>
          <w:rFonts w:ascii="Times New Roman" w:hAnsi="Times New Roman" w:cs="Times New Roman"/>
          <w:sz w:val="24"/>
          <w:szCs w:val="24"/>
        </w:rPr>
        <w:t xml:space="preserve">технического регламента Таможенного союза 005/2011 «О безопасности упаковки», </w:t>
      </w:r>
      <w:r>
        <w:rPr>
          <w:rFonts w:ascii="Times New Roman" w:hAnsi="Times New Roman" w:cs="Times New Roman"/>
          <w:sz w:val="24"/>
          <w:szCs w:val="24"/>
        </w:rPr>
        <w:t>ГОСТ 17527-2020 «Межгосударственный стандарт. Упаковка. Термины и определения»;</w:t>
      </w:r>
    </w:p>
    <w:p w14:paraId="5899F50C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определить требования (критерии) к формированию Правительством Российской Федерации Перечня видов ОИТ, видов полученного из таких отходов вторичного сырья, при утилизации которых может быть исполнена обязанность по обеспечению самостоятельной утилизации ОИТ, упаковки, включенных в перечень, предусмотренный пунктом 5 статьи 24.2. Федерального закона 89-ФЗ «Об отходах производства и потребления», и видов товаров (продукции), которые могут быть произведены при утилизации таких отходов (в том числе при использовании вторичного сырья, полученного из таких отходов) в целях исполнения обязанности по обеспечению самостоятельной утилизации ОИТ. В случае производства товаров и упаковки, подлежащих утилизации в рамках РОП, силами цепочки исполнителей с участием утилизаторов ОИТ - установить приоритетное право применения понижающего коэффициента за использование вторичного сырья производителем готового изделия. </w:t>
      </w:r>
    </w:p>
    <w:p w14:paraId="255AAC4C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установить технологические критерии (признаки) утилизатора ОИТ (при утилизации отходов, вторичного сырья) по отраслям производства, включая упаковочные материалы и типы упаковки;  </w:t>
      </w:r>
    </w:p>
    <w:p w14:paraId="22909868" w14:textId="518FED8D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доработать механизмы государственной поддержки заготовителей вторичных ресурсов, вторичного сырья (утилизаторов) за счет средств от экологического сбора</w:t>
      </w:r>
      <w:r w:rsidR="00440747">
        <w:rPr>
          <w:rFonts w:ascii="Times New Roman" w:hAnsi="Times New Roman" w:cs="Times New Roman"/>
          <w:sz w:val="24"/>
          <w:szCs w:val="24"/>
        </w:rPr>
        <w:t>;</w:t>
      </w:r>
    </w:p>
    <w:p w14:paraId="20339B7C" w14:textId="49385A22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разработать технические требования и нормативные условия для полноценного внедрения раздельного накопления отходов (далее РНО) с привлечением муниципальных органов власти населенных пунктов независимо от их географического расположения и численности населения. Централизованное управление РНО посредством контроля </w:t>
      </w:r>
      <w:r w:rsidR="0082378E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>деятельности исключительно региональны</w:t>
      </w:r>
      <w:r w:rsidR="0082378E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82378E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не позволит эффективно решить задачу сокращения захоронения ОИТ (в том числе несанкционированного). </w:t>
      </w:r>
    </w:p>
    <w:p w14:paraId="76E0A562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335896E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Меморандума руководствуются следующими принципами при формировании межотраслевых предложений по совершенствованию законодательства о РОП: </w:t>
      </w:r>
    </w:p>
    <w:p w14:paraId="57E5F8EE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предлагаемые изменения в законодательство о РОП не должны препятствовать развитию отраслей обрабатывающей промышленности, создавать избыточную необоснованную нагрузку, новые барьеры; </w:t>
      </w:r>
    </w:p>
    <w:p w14:paraId="2C8BB69A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законодательство о РОП должно опираться на принятые стандарты и нормы технического регулирования для определения субъектов регулирования; </w:t>
      </w:r>
    </w:p>
    <w:p w14:paraId="06E8FA41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законодательство о РОП должно охватывать сферу ОИТ, образующихся у населения;</w:t>
      </w:r>
    </w:p>
    <w:p w14:paraId="32D54DF4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весь комплекс мер регулирования обращения с отходами должен содержать отраслевую специфику, чтобы учитывать различия технологических процессов и организации ресурсных и сырьевых потоков и возможностей применения вторичного сырья в каждой отрасли;</w:t>
      </w:r>
    </w:p>
    <w:p w14:paraId="3C1C6847" w14:textId="660A4891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законодательство в первую очередь должно способствовать сокращению объемов захоронения ОИТ,</w:t>
      </w:r>
      <w:r w:rsidR="0082378E">
        <w:rPr>
          <w:rFonts w:ascii="Times New Roman" w:hAnsi="Times New Roman" w:cs="Times New Roman"/>
          <w:sz w:val="24"/>
          <w:szCs w:val="24"/>
        </w:rPr>
        <w:t xml:space="preserve"> образующихся у населения,</w:t>
      </w:r>
      <w:r>
        <w:rPr>
          <w:rFonts w:ascii="Times New Roman" w:hAnsi="Times New Roman" w:cs="Times New Roman"/>
          <w:sz w:val="24"/>
          <w:szCs w:val="24"/>
        </w:rPr>
        <w:t xml:space="preserve"> а также росту их вовлечения в производство вторичного сырья.  </w:t>
      </w:r>
    </w:p>
    <w:p w14:paraId="338EC043" w14:textId="77777777" w:rsidR="0082378E" w:rsidRDefault="0082378E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EFF074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необходимости, Стороны будут готовить предложения по изменению требований законодательства в иных областях, кроме механизма РОП, но влияющие на процессы его реализации (например, термины и определения, классификация отходов, идентификация упаковки, меры экономического стимулирования, кодификация продукции и т.д.). </w:t>
      </w:r>
    </w:p>
    <w:p w14:paraId="45E851FB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00244C" w14:textId="77777777" w:rsidR="00981ABD" w:rsidRDefault="00981ABD" w:rsidP="000F01D8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D1BE3" w14:textId="207D2505" w:rsidR="00E24280" w:rsidRPr="000F01D8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Объект регулирования законодательства о РОП</w:t>
      </w:r>
    </w:p>
    <w:p w14:paraId="1383B94C" w14:textId="24B1DB5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меморандума считают, что сферой регулирования РОП являются товары потребления в быту, и отходы, которые образуются при утрате этими товарами потребительских свойств (ОИТ). При ненадлежащем сборе и накоплении ОИТ формируют смешанные отходы, в том числе Т</w:t>
      </w:r>
      <w:r w:rsidR="0082378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2378E">
        <w:rPr>
          <w:rFonts w:ascii="Times New Roman" w:hAnsi="Times New Roman" w:cs="Times New Roman"/>
          <w:sz w:val="24"/>
          <w:szCs w:val="24"/>
        </w:rPr>
        <w:t xml:space="preserve"> (ТБО)</w:t>
      </w:r>
      <w:r>
        <w:rPr>
          <w:rFonts w:ascii="Times New Roman" w:hAnsi="Times New Roman" w:cs="Times New Roman"/>
          <w:sz w:val="24"/>
          <w:szCs w:val="24"/>
        </w:rPr>
        <w:t>. В связи с этим в отношении упаковки законодательство о РОП должно распространяться исключительно на первичную и потребительскую упаковку согласно определению в Техническом регламенте Таможенного союза «О безопасности упаковки» (ТР ТС 005/2011).</w:t>
      </w:r>
    </w:p>
    <w:p w14:paraId="3F684651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вывода транспортной упаковки из-под регулирования законодательством о РОП с целью совершенствования подхода к его применению, стороны Меморандума полагают целесообразным внести изменения в Общероссийский классификатор ОКПД 2, касающиеся ввода дополнительного кода для упаковки, предназначенной для розничной торговли. </w:t>
      </w:r>
    </w:p>
    <w:p w14:paraId="2620AE91" w14:textId="2A10D784" w:rsidR="00E24280" w:rsidRPr="000F01D8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Субъектом РОП в части упаковки должен являться производитель первичной потребительской упаковки согласно ее определению в ТР ТС 005/2011 «О безопасности упаковки», либо </w:t>
      </w:r>
      <w:r w:rsidRPr="002F7DBD">
        <w:rPr>
          <w:rFonts w:ascii="Times New Roman" w:hAnsi="Times New Roman" w:cs="Times New Roman"/>
          <w:sz w:val="24"/>
          <w:szCs w:val="24"/>
        </w:rPr>
        <w:t xml:space="preserve">непосредственно производитель потребительского товара в упаковке в тех случаях, если упаковка формируется в процессе фасовки товара. В связи с этим необходимо оценить целесообразность снятия ответственности за утилизацию </w:t>
      </w:r>
      <w:r w:rsidR="00440747" w:rsidRPr="002F7DBD">
        <w:rPr>
          <w:rFonts w:ascii="Times New Roman" w:hAnsi="Times New Roman" w:cs="Times New Roman"/>
          <w:sz w:val="24"/>
          <w:szCs w:val="24"/>
        </w:rPr>
        <w:t xml:space="preserve">отходов от </w:t>
      </w:r>
      <w:r w:rsidRPr="002F7DBD">
        <w:rPr>
          <w:rFonts w:ascii="Times New Roman" w:hAnsi="Times New Roman" w:cs="Times New Roman"/>
          <w:sz w:val="24"/>
          <w:szCs w:val="24"/>
        </w:rPr>
        <w:t>упаковки с производителя потребительского товара.</w:t>
      </w:r>
    </w:p>
    <w:p w14:paraId="4ED5C86B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FC6D94" w14:textId="292BB4F8" w:rsidR="00E24280" w:rsidRPr="000F01D8" w:rsidRDefault="000F01D8" w:rsidP="000F01D8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Необходимость учета о</w:t>
      </w:r>
      <w:r w:rsidR="00E90343">
        <w:rPr>
          <w:rFonts w:ascii="Times New Roman" w:hAnsi="Times New Roman" w:cs="Times New Roman"/>
          <w:b/>
          <w:bCs/>
          <w:sz w:val="24"/>
          <w:szCs w:val="24"/>
        </w:rPr>
        <w:t>траслевы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E90343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 в</w:t>
      </w:r>
      <w:r w:rsidR="00E90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законодательстве о РОП</w:t>
      </w:r>
    </w:p>
    <w:p w14:paraId="25048A94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различных отраслях обрабатывающей промышленности соотношение долей использования первичного и вторичного сырья имеет отраслевую специфику и связано с качеством, условиями получения и стандартизацией вторичного сырья. </w:t>
      </w:r>
    </w:p>
    <w:p w14:paraId="3A451201" w14:textId="5E173E73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доля мощностей по производству бумаги (картона) из макулатуры превышает долю мощностей по производству аналогичной продукции из первичного сырья. Таким образом, в условиях нового законодательства о РОП в целлюлозно-бумажной промышленности формируются признаки необоснованной выгоды для производителей продукции из вторичного сырья за счет получения ими дополнительных средств в статусе утилизаторов ОИТ без их участия в переработке отходов бумаги и картона, извлеченных из смеси ТКО. </w:t>
      </w:r>
      <w:r w:rsidR="00A7490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текущем толковании законодательства, объемы утилизации отходов бумаги и картона уже превышают объемы производства </w:t>
      </w:r>
      <w:r w:rsidR="00A74906">
        <w:rPr>
          <w:rFonts w:ascii="Times New Roman" w:hAnsi="Times New Roman" w:cs="Times New Roman"/>
          <w:sz w:val="24"/>
          <w:szCs w:val="24"/>
        </w:rPr>
        <w:t xml:space="preserve">товаров </w:t>
      </w:r>
      <w:r>
        <w:rPr>
          <w:rFonts w:ascii="Times New Roman" w:hAnsi="Times New Roman" w:cs="Times New Roman"/>
          <w:sz w:val="24"/>
          <w:szCs w:val="24"/>
        </w:rPr>
        <w:t xml:space="preserve">из первичного сырья, не обязывая утилизаторов ОИТ утилизировать бытовые отходы. </w:t>
      </w:r>
    </w:p>
    <w:p w14:paraId="06DA5B05" w14:textId="24B832C4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Принимая во внимание высокий процент содержания макулатуры в составе ТКО, а также хорошо сформированную замкнутую систему ее использования для производства бумажной продукции, необходимо разграничить процессы производства бумаги и картона из макулатуры, и процессы утилизации</w:t>
      </w:r>
      <w:r w:rsidR="00A74906">
        <w:rPr>
          <w:rFonts w:ascii="Times New Roman" w:hAnsi="Times New Roman" w:cs="Times New Roman"/>
          <w:sz w:val="24"/>
          <w:szCs w:val="24"/>
        </w:rPr>
        <w:t xml:space="preserve"> отходов</w:t>
      </w:r>
      <w:r>
        <w:rPr>
          <w:rFonts w:ascii="Times New Roman" w:hAnsi="Times New Roman" w:cs="Times New Roman"/>
          <w:sz w:val="24"/>
          <w:szCs w:val="24"/>
        </w:rPr>
        <w:t xml:space="preserve">. Следует дополнительно определить статус и виды макулатуры в нормативных правовых актах, регулирующих вопросы РОП. </w:t>
      </w:r>
    </w:p>
    <w:p w14:paraId="01E273C3" w14:textId="49336DD4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 Фактически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утилизатором отходов бумаги (картона) является лицо, которое обеспечивает заготовку и поставку вторичного сырья на предприятия. При этом факт утилизации ОИТ подтверждается актом купли/продажи макулатуры и актом утилизации вторичного сырья. </w:t>
      </w:r>
    </w:p>
    <w:p w14:paraId="550931DC" w14:textId="77777777" w:rsidR="000F01D8" w:rsidRDefault="000F01D8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2A4BF9" w14:textId="77777777" w:rsidR="000F01D8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отрасли производства полимерной и комбинированной с полимерами упаковки в части утилизации ее отходов следует обратить особое внимание на определение субъекта РОП учитывая различия процессов производства материалов для упаковки и самой упаковки из них.</w:t>
      </w:r>
      <w:r w:rsidR="000F01D8">
        <w:rPr>
          <w:rFonts w:ascii="Times New Roman" w:hAnsi="Times New Roman" w:cs="Times New Roman"/>
          <w:sz w:val="24"/>
          <w:szCs w:val="24"/>
        </w:rPr>
        <w:t xml:space="preserve"> В мировой практике внедрения аналогичного законодательства (</w:t>
      </w:r>
      <w:r w:rsidR="000F01D8">
        <w:rPr>
          <w:rFonts w:ascii="Times New Roman" w:hAnsi="Times New Roman" w:cs="Times New Roman"/>
          <w:sz w:val="24"/>
          <w:szCs w:val="24"/>
          <w:lang w:val="en-US"/>
        </w:rPr>
        <w:t>EPR</w:t>
      </w:r>
      <w:r w:rsidR="000F01D8">
        <w:rPr>
          <w:rFonts w:ascii="Times New Roman" w:hAnsi="Times New Roman" w:cs="Times New Roman"/>
          <w:sz w:val="24"/>
          <w:szCs w:val="24"/>
        </w:rPr>
        <w:t>)</w:t>
      </w:r>
      <w:r w:rsidR="000F01D8" w:rsidRPr="000F01D8">
        <w:rPr>
          <w:rFonts w:ascii="Times New Roman" w:hAnsi="Times New Roman" w:cs="Times New Roman"/>
          <w:sz w:val="24"/>
          <w:szCs w:val="24"/>
        </w:rPr>
        <w:t xml:space="preserve"> </w:t>
      </w:r>
      <w:r w:rsidR="000F01D8">
        <w:rPr>
          <w:rFonts w:ascii="Times New Roman" w:hAnsi="Times New Roman" w:cs="Times New Roman"/>
          <w:sz w:val="24"/>
          <w:szCs w:val="24"/>
        </w:rPr>
        <w:t>объектом регулирования выступает готовая упаковка изделия, предназначенного для потребления в быту, но не материал, из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1D8">
        <w:rPr>
          <w:rFonts w:ascii="Times New Roman" w:hAnsi="Times New Roman" w:cs="Times New Roman"/>
          <w:sz w:val="24"/>
          <w:szCs w:val="24"/>
        </w:rPr>
        <w:t xml:space="preserve">она изготовлена. Этот подход существенно облегчает администрирование сбора экологических платежей с субъектов РОП. </w:t>
      </w:r>
    </w:p>
    <w:p w14:paraId="677FA201" w14:textId="3A231CD2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следует обратить внимание на необходимость внесения изменений в методологию расчета суммы экологического сбора с целью </w:t>
      </w:r>
      <w:r w:rsidRPr="002F7DBD">
        <w:rPr>
          <w:rFonts w:ascii="Times New Roman" w:hAnsi="Times New Roman" w:cs="Times New Roman"/>
          <w:sz w:val="24"/>
          <w:szCs w:val="24"/>
        </w:rPr>
        <w:t xml:space="preserve">исключения возможности применения экосбора для целей регулирования рынка упаковки и различных материалов для ее производства. Выбор материала упаковки обусловлен </w:t>
      </w:r>
      <w:r w:rsidR="00440747" w:rsidRPr="002F7DBD">
        <w:rPr>
          <w:rFonts w:ascii="Times New Roman" w:hAnsi="Times New Roman" w:cs="Times New Roman"/>
          <w:sz w:val="24"/>
          <w:szCs w:val="24"/>
        </w:rPr>
        <w:t xml:space="preserve">техническими требованиями к ее применению и </w:t>
      </w:r>
      <w:r w:rsidR="000F01D8">
        <w:rPr>
          <w:rFonts w:ascii="Times New Roman" w:hAnsi="Times New Roman" w:cs="Times New Roman"/>
          <w:sz w:val="24"/>
          <w:szCs w:val="24"/>
        </w:rPr>
        <w:t xml:space="preserve">ее функциональными и потребительскими </w:t>
      </w:r>
      <w:r w:rsidR="00440747" w:rsidRPr="002F7DBD">
        <w:rPr>
          <w:rFonts w:ascii="Times New Roman" w:hAnsi="Times New Roman" w:cs="Times New Roman"/>
          <w:sz w:val="24"/>
          <w:szCs w:val="24"/>
        </w:rPr>
        <w:t>свойствам</w:t>
      </w:r>
      <w:r w:rsidR="000F01D8">
        <w:rPr>
          <w:rFonts w:ascii="Times New Roman" w:hAnsi="Times New Roman" w:cs="Times New Roman"/>
          <w:sz w:val="24"/>
          <w:szCs w:val="24"/>
        </w:rPr>
        <w:t>и</w:t>
      </w:r>
      <w:r w:rsidRPr="002F7DBD">
        <w:rPr>
          <w:rFonts w:ascii="Times New Roman" w:hAnsi="Times New Roman" w:cs="Times New Roman"/>
          <w:sz w:val="24"/>
          <w:szCs w:val="24"/>
        </w:rPr>
        <w:t xml:space="preserve">. Требования к материалу и к свойствам самой упаковки определяются не производителем материала, а </w:t>
      </w:r>
      <w:r w:rsidR="00440747" w:rsidRPr="002F7DBD">
        <w:rPr>
          <w:rFonts w:ascii="Times New Roman" w:hAnsi="Times New Roman" w:cs="Times New Roman"/>
          <w:sz w:val="24"/>
          <w:szCs w:val="24"/>
        </w:rPr>
        <w:t>покупателем</w:t>
      </w:r>
      <w:r w:rsidRPr="002F7DBD">
        <w:rPr>
          <w:rFonts w:ascii="Times New Roman" w:hAnsi="Times New Roman" w:cs="Times New Roman"/>
          <w:sz w:val="24"/>
          <w:szCs w:val="24"/>
        </w:rPr>
        <w:t xml:space="preserve"> упаковки, фасующим в нее свой товар.</w:t>
      </w:r>
    </w:p>
    <w:p w14:paraId="7015895D" w14:textId="77777777" w:rsidR="00044B29" w:rsidRPr="002F7DBD" w:rsidRDefault="00044B29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676F9FA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7DBD">
        <w:rPr>
          <w:rFonts w:ascii="Times New Roman" w:hAnsi="Times New Roman" w:cs="Times New Roman"/>
          <w:sz w:val="24"/>
          <w:szCs w:val="24"/>
        </w:rPr>
        <w:t xml:space="preserve">В отношении стеклянной тары особое внимание следует уделять чистоте </w:t>
      </w:r>
      <w:r>
        <w:rPr>
          <w:rFonts w:ascii="Times New Roman" w:hAnsi="Times New Roman" w:cs="Times New Roman"/>
          <w:sz w:val="24"/>
          <w:szCs w:val="24"/>
        </w:rPr>
        <w:t>процессов сбора ОИТ из стекла чтобы избежать появление опасных примесей в контактирующей с продуктами питания таре, полученной с использованием вторичных ресурсов из стекла.</w:t>
      </w:r>
    </w:p>
    <w:p w14:paraId="3D60AEBB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11C1DA4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9041DC" w14:textId="2ABC3454" w:rsidR="00E24280" w:rsidRPr="00044B29" w:rsidRDefault="00B73ECB" w:rsidP="00044B29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Предложения о</w:t>
      </w:r>
      <w:r w:rsidR="00E90343">
        <w:rPr>
          <w:rFonts w:ascii="Times New Roman" w:hAnsi="Times New Roman" w:cs="Times New Roman"/>
          <w:b/>
          <w:bCs/>
          <w:sz w:val="24"/>
          <w:szCs w:val="24"/>
        </w:rPr>
        <w:t xml:space="preserve">б организации деятельности по переработке отходов потребления, в том числе раздельному накоплению (далее – РНО). </w:t>
      </w:r>
    </w:p>
    <w:p w14:paraId="410C78A9" w14:textId="77777777" w:rsidR="00044B29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целей расширения вовлечения отходов потребления в замкнутые циклы, для развития подходов к стандартизации получаемого из них вторичного сырья и расширения его применения, необходимо развивать РНО. При этом необходимо определить заказчика раздельного накопления отходов и </w:t>
      </w:r>
      <w:r w:rsidR="00440747">
        <w:rPr>
          <w:rFonts w:ascii="Times New Roman" w:hAnsi="Times New Roman" w:cs="Times New Roman"/>
          <w:sz w:val="24"/>
          <w:szCs w:val="24"/>
        </w:rPr>
        <w:t>механизм контроля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407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раздельного накопления</w:t>
      </w:r>
      <w:r w:rsidR="00440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47">
        <w:rPr>
          <w:rFonts w:ascii="Times New Roman" w:hAnsi="Times New Roman" w:cs="Times New Roman"/>
          <w:sz w:val="24"/>
          <w:szCs w:val="24"/>
        </w:rPr>
        <w:t>Также следует</w:t>
      </w:r>
      <w:r>
        <w:rPr>
          <w:rFonts w:ascii="Times New Roman" w:hAnsi="Times New Roman" w:cs="Times New Roman"/>
          <w:sz w:val="24"/>
          <w:szCs w:val="24"/>
        </w:rPr>
        <w:t xml:space="preserve"> установить для каждого типа (вида) отходов нормативные требования безопасности и пригодности к переработке. </w:t>
      </w:r>
    </w:p>
    <w:p w14:paraId="213B3DE9" w14:textId="4B335A2C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Заказчиками получения раздельно собранных отходов </w:t>
      </w:r>
      <w:r w:rsidR="007B7C55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выступать производители </w:t>
      </w:r>
      <w:r w:rsidR="007B7C55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вторичного сырья на основании принятого «конвертора»</w:t>
      </w:r>
      <w:r w:rsidR="00654B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утилизаторы. Региональные операторы могут выступать в качестве поставщика услуги по доставке раздельно собранных отходов от населения к утилизатору. При этом </w:t>
      </w:r>
      <w:r w:rsidR="00440747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sz w:val="24"/>
          <w:szCs w:val="24"/>
        </w:rPr>
        <w:t>качеств</w:t>
      </w:r>
      <w:r w:rsidR="0044074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разделения </w:t>
      </w:r>
      <w:r w:rsidR="00044B29">
        <w:rPr>
          <w:rFonts w:ascii="Times New Roman" w:hAnsi="Times New Roman" w:cs="Times New Roman"/>
          <w:sz w:val="24"/>
          <w:szCs w:val="24"/>
        </w:rPr>
        <w:t xml:space="preserve">отходов </w:t>
      </w:r>
      <w:r>
        <w:rPr>
          <w:rFonts w:ascii="Times New Roman" w:hAnsi="Times New Roman" w:cs="Times New Roman"/>
          <w:sz w:val="24"/>
          <w:szCs w:val="24"/>
        </w:rPr>
        <w:t>устанавлива</w:t>
      </w:r>
      <w:r w:rsidR="007B7C5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7B7C55">
        <w:rPr>
          <w:rFonts w:ascii="Times New Roman" w:hAnsi="Times New Roman" w:cs="Times New Roman"/>
          <w:sz w:val="24"/>
          <w:szCs w:val="24"/>
        </w:rPr>
        <w:t xml:space="preserve">самими </w:t>
      </w:r>
      <w:r>
        <w:rPr>
          <w:rFonts w:ascii="Times New Roman" w:hAnsi="Times New Roman" w:cs="Times New Roman"/>
          <w:sz w:val="24"/>
          <w:szCs w:val="24"/>
        </w:rPr>
        <w:t>утилизатор</w:t>
      </w:r>
      <w:r w:rsidR="007B7C55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C55">
        <w:rPr>
          <w:rFonts w:ascii="Times New Roman" w:hAnsi="Times New Roman" w:cs="Times New Roman"/>
          <w:sz w:val="24"/>
          <w:szCs w:val="24"/>
        </w:rPr>
        <w:t>и их выполнение контро</w:t>
      </w:r>
      <w:r w:rsidR="00044B29">
        <w:rPr>
          <w:rFonts w:ascii="Times New Roman" w:hAnsi="Times New Roman" w:cs="Times New Roman"/>
          <w:sz w:val="24"/>
          <w:szCs w:val="24"/>
        </w:rPr>
        <w:softHyphen/>
      </w:r>
      <w:r w:rsidR="007B7C55">
        <w:rPr>
          <w:rFonts w:ascii="Times New Roman" w:hAnsi="Times New Roman" w:cs="Times New Roman"/>
          <w:sz w:val="24"/>
          <w:szCs w:val="24"/>
        </w:rPr>
        <w:t xml:space="preserve">лируется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7B7C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властям</w:t>
      </w:r>
      <w:r w:rsidR="007B7C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которые, в свою очередь, обеспечивают соблюдение гражданами установленных требований по качеству РНО. Муниципальные власти могут на своем уровне определить порядок организации РНО в своем районе, поселке или городе. При этом оплату услуги по </w:t>
      </w:r>
      <w:r w:rsidR="00044B29">
        <w:rPr>
          <w:rFonts w:ascii="Times New Roman" w:hAnsi="Times New Roman" w:cs="Times New Roman"/>
          <w:sz w:val="24"/>
          <w:szCs w:val="24"/>
        </w:rPr>
        <w:t>вывозу</w:t>
      </w:r>
      <w:r>
        <w:rPr>
          <w:rFonts w:ascii="Times New Roman" w:hAnsi="Times New Roman" w:cs="Times New Roman"/>
          <w:sz w:val="24"/>
          <w:szCs w:val="24"/>
        </w:rPr>
        <w:t xml:space="preserve"> РНО </w:t>
      </w:r>
      <w:r w:rsidR="00044B29">
        <w:rPr>
          <w:rFonts w:ascii="Times New Roman" w:hAnsi="Times New Roman" w:cs="Times New Roman"/>
          <w:sz w:val="24"/>
          <w:szCs w:val="24"/>
        </w:rPr>
        <w:t xml:space="preserve">от населения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044B29">
        <w:rPr>
          <w:rFonts w:ascii="Times New Roman" w:hAnsi="Times New Roman" w:cs="Times New Roman"/>
          <w:sz w:val="24"/>
          <w:szCs w:val="24"/>
        </w:rPr>
        <w:t xml:space="preserve">сами </w:t>
      </w:r>
      <w:r>
        <w:rPr>
          <w:rFonts w:ascii="Times New Roman" w:hAnsi="Times New Roman" w:cs="Times New Roman"/>
          <w:sz w:val="24"/>
          <w:szCs w:val="24"/>
        </w:rPr>
        <w:t xml:space="preserve">утилизаторы и не за счет населения. Население в свою очередь, получает экономический стимул разделять бытовые отходы за счет сокращения затрат на тарифе ЖКУ </w:t>
      </w:r>
      <w:r w:rsidR="007B7C5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вывоз смешанных ТКО</w:t>
      </w:r>
      <w:r w:rsidR="00746400">
        <w:rPr>
          <w:rFonts w:ascii="Times New Roman" w:hAnsi="Times New Roman" w:cs="Times New Roman"/>
          <w:sz w:val="24"/>
          <w:szCs w:val="24"/>
        </w:rPr>
        <w:t>, в которых не заинтересованы утилизаторы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C2D4D4" w14:textId="317C5C4E" w:rsidR="00E24280" w:rsidRPr="002F7DBD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Отходы, </w:t>
      </w:r>
      <w:r w:rsidR="00746400">
        <w:rPr>
          <w:rFonts w:ascii="Times New Roman" w:hAnsi="Times New Roman" w:cs="Times New Roman"/>
          <w:sz w:val="24"/>
          <w:szCs w:val="24"/>
        </w:rPr>
        <w:t xml:space="preserve">заранее </w:t>
      </w:r>
      <w:r>
        <w:rPr>
          <w:rFonts w:ascii="Times New Roman" w:hAnsi="Times New Roman" w:cs="Times New Roman"/>
          <w:sz w:val="24"/>
          <w:szCs w:val="24"/>
        </w:rPr>
        <w:t xml:space="preserve">разделенные по фракциям </w:t>
      </w:r>
      <w:r w:rsidR="007464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00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их образования с соблюдением установ</w:t>
      </w:r>
      <w:r w:rsidR="00746400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ленных требований, позволяют существенно повысить их переработку. Образуемое из них вторичное сырье востребовано такими производствами, как производство изделий из бумаги и картона</w:t>
      </w:r>
      <w:r w:rsidR="00746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00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роизводств</w:t>
      </w:r>
      <w:r w:rsidR="007464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изделий из </w:t>
      </w:r>
      <w:r w:rsidR="00746400">
        <w:rPr>
          <w:rFonts w:ascii="Times New Roman" w:hAnsi="Times New Roman" w:cs="Times New Roman"/>
          <w:sz w:val="24"/>
          <w:szCs w:val="24"/>
        </w:rPr>
        <w:t xml:space="preserve">пластмасс существует обоснованное </w:t>
      </w:r>
      <w:r>
        <w:rPr>
          <w:rFonts w:ascii="Times New Roman" w:hAnsi="Times New Roman" w:cs="Times New Roman"/>
          <w:sz w:val="24"/>
          <w:szCs w:val="24"/>
        </w:rPr>
        <w:t xml:space="preserve">многообразие </w:t>
      </w:r>
      <w:r w:rsidR="00746400">
        <w:rPr>
          <w:rFonts w:ascii="Times New Roman" w:hAnsi="Times New Roman" w:cs="Times New Roman"/>
          <w:sz w:val="24"/>
          <w:szCs w:val="24"/>
        </w:rPr>
        <w:t xml:space="preserve">применяемых полимерных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="00746400">
        <w:rPr>
          <w:rFonts w:ascii="Times New Roman" w:hAnsi="Times New Roman" w:cs="Times New Roman"/>
          <w:sz w:val="24"/>
          <w:szCs w:val="24"/>
        </w:rPr>
        <w:t xml:space="preserve">. Однако, уровень утилизации ОИТ, получаемых от изделий из полимерных материалов, </w:t>
      </w:r>
      <w:r>
        <w:rPr>
          <w:rFonts w:ascii="Times New Roman" w:hAnsi="Times New Roman" w:cs="Times New Roman"/>
          <w:sz w:val="24"/>
          <w:szCs w:val="24"/>
        </w:rPr>
        <w:t>при их достаточной чистоте от органических загрязнений</w:t>
      </w:r>
      <w:r w:rsidR="00746400">
        <w:rPr>
          <w:rFonts w:ascii="Times New Roman" w:hAnsi="Times New Roman" w:cs="Times New Roman"/>
          <w:sz w:val="24"/>
          <w:szCs w:val="24"/>
        </w:rPr>
        <w:t xml:space="preserve"> и прочих примесей,</w:t>
      </w:r>
      <w:r>
        <w:rPr>
          <w:rFonts w:ascii="Times New Roman" w:hAnsi="Times New Roman" w:cs="Times New Roman"/>
          <w:sz w:val="24"/>
          <w:szCs w:val="24"/>
        </w:rPr>
        <w:t xml:space="preserve"> существенно повыша</w:t>
      </w:r>
      <w:r w:rsidR="00746400">
        <w:rPr>
          <w:rFonts w:ascii="Times New Roman" w:hAnsi="Times New Roman" w:cs="Times New Roman"/>
          <w:sz w:val="24"/>
          <w:szCs w:val="24"/>
        </w:rPr>
        <w:t>ется</w:t>
      </w:r>
      <w:r w:rsidRPr="002F7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1E2E52" w14:textId="77777777" w:rsidR="001F178E" w:rsidRDefault="00E90343" w:rsidP="001F178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7DBD">
        <w:rPr>
          <w:rFonts w:ascii="Times New Roman" w:hAnsi="Times New Roman" w:cs="Times New Roman"/>
          <w:sz w:val="24"/>
          <w:szCs w:val="24"/>
        </w:rPr>
        <w:t>Кроме прочего при такой организации раздельного накопления появляются условия для развития конкуренции и частной инициативы утилизаторов на рынке ВМР (вторичных материальных ресурсов или вторичных ресурсов).</w:t>
      </w:r>
      <w:r w:rsidR="00746400">
        <w:rPr>
          <w:rFonts w:ascii="Times New Roman" w:hAnsi="Times New Roman" w:cs="Times New Roman"/>
          <w:sz w:val="24"/>
          <w:szCs w:val="24"/>
        </w:rPr>
        <w:t xml:space="preserve"> Данная конкуренция сейчас подавлена неправильной организацией всего процесса обращения с ОИТ.</w:t>
      </w:r>
    </w:p>
    <w:p w14:paraId="1F780858" w14:textId="77777777" w:rsidR="001F178E" w:rsidRDefault="001F178E" w:rsidP="001F178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6134C9" w14:textId="29E3B3DE" w:rsidR="00E24280" w:rsidRPr="001F178E" w:rsidRDefault="00E90343" w:rsidP="001F178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Экологический сбор, повышающие коэффициенты </w:t>
      </w:r>
    </w:p>
    <w:p w14:paraId="6232DDE8" w14:textId="2429383C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 о РОП должно быть интегрировано в существующие нормы ведения хозяйственной деятельности, и не должно привести к существенному изменению стоимости товаров. Базовая ставка экологического сбора, согласно законодательству, должна рассчитываться на основе реальных экономических затрат на утилизацию </w:t>
      </w:r>
      <w:r w:rsidR="00654BCA">
        <w:rPr>
          <w:rFonts w:ascii="Times New Roman" w:hAnsi="Times New Roman" w:cs="Times New Roman"/>
          <w:sz w:val="24"/>
          <w:szCs w:val="24"/>
        </w:rPr>
        <w:t>отходов</w:t>
      </w:r>
      <w:r>
        <w:rPr>
          <w:rFonts w:ascii="Times New Roman" w:hAnsi="Times New Roman" w:cs="Times New Roman"/>
          <w:sz w:val="24"/>
          <w:szCs w:val="24"/>
        </w:rPr>
        <w:t xml:space="preserve"> по отраслям производства. При этом, применение критериев повышающего коэффициента в методике должно быть согласовано с ФАС в случае, если </w:t>
      </w:r>
      <w:r w:rsidR="00971A7F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качестве меры регулирования </w:t>
      </w:r>
      <w:r w:rsidR="00971A7F">
        <w:rPr>
          <w:rFonts w:ascii="Times New Roman" w:hAnsi="Times New Roman" w:cs="Times New Roman"/>
          <w:sz w:val="24"/>
          <w:szCs w:val="24"/>
        </w:rPr>
        <w:t xml:space="preserve">спроса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искусственного влияния на цену товаров и упаковки. В любом случае суммарный размер повышающего коэффициента по сумме всех критериев не должен превышать значения 2, так как в противном случае следует говорить о необходимости пересмотра базовой ставки экологического сбора в связи с экономически необоснованным увеличением экологического платежа для производителей определенных видов товаров и упаковки. </w:t>
      </w:r>
      <w:r w:rsidR="001F178E">
        <w:rPr>
          <w:rFonts w:ascii="Times New Roman" w:hAnsi="Times New Roman" w:cs="Times New Roman"/>
          <w:sz w:val="24"/>
          <w:szCs w:val="24"/>
        </w:rPr>
        <w:t>Согласно определению из законодательства, базовая ставка экосбора уже должна включать в себя все расходы по утилизации ОИТ определенного вида.</w:t>
      </w:r>
    </w:p>
    <w:p w14:paraId="5477F3C8" w14:textId="12A1BCB3" w:rsidR="00E24280" w:rsidRPr="002F7DBD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7DBD">
        <w:rPr>
          <w:rFonts w:ascii="Times New Roman" w:hAnsi="Times New Roman" w:cs="Times New Roman"/>
          <w:sz w:val="24"/>
          <w:szCs w:val="24"/>
        </w:rPr>
        <w:t xml:space="preserve">Пересмотр повышающих критериев должен производиться также по фактическому положению сбора, </w:t>
      </w:r>
      <w:r w:rsidR="00654BCA">
        <w:rPr>
          <w:rFonts w:ascii="Times New Roman" w:hAnsi="Times New Roman" w:cs="Times New Roman"/>
          <w:sz w:val="24"/>
          <w:szCs w:val="24"/>
        </w:rPr>
        <w:t>обработки</w:t>
      </w:r>
      <w:r w:rsidRPr="002F7DBD">
        <w:rPr>
          <w:rFonts w:ascii="Times New Roman" w:hAnsi="Times New Roman" w:cs="Times New Roman"/>
          <w:sz w:val="24"/>
          <w:szCs w:val="24"/>
        </w:rPr>
        <w:t>, утилизации</w:t>
      </w:r>
      <w:r w:rsidR="00654BCA">
        <w:rPr>
          <w:rFonts w:ascii="Times New Roman" w:hAnsi="Times New Roman" w:cs="Times New Roman"/>
          <w:sz w:val="24"/>
          <w:szCs w:val="24"/>
        </w:rPr>
        <w:t xml:space="preserve"> отходов и</w:t>
      </w:r>
      <w:r w:rsidRPr="002F7DBD">
        <w:rPr>
          <w:rFonts w:ascii="Times New Roman" w:hAnsi="Times New Roman" w:cs="Times New Roman"/>
          <w:sz w:val="24"/>
          <w:szCs w:val="24"/>
        </w:rPr>
        <w:t xml:space="preserve"> использования вторичного сырья в стране, а не утверждаться в прогрессии на 3 года вперед, так как стремительное развитие переработки и доступность (при соблюдении определенных условий) вторичного сырья</w:t>
      </w:r>
      <w:r w:rsidR="00654BCA">
        <w:rPr>
          <w:rFonts w:ascii="Times New Roman" w:hAnsi="Times New Roman" w:cs="Times New Roman"/>
          <w:sz w:val="24"/>
          <w:szCs w:val="24"/>
        </w:rPr>
        <w:t>,</w:t>
      </w:r>
      <w:r w:rsidRPr="002F7DBD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654BCA">
        <w:rPr>
          <w:rFonts w:ascii="Times New Roman" w:hAnsi="Times New Roman" w:cs="Times New Roman"/>
          <w:sz w:val="24"/>
          <w:szCs w:val="24"/>
        </w:rPr>
        <w:t>,</w:t>
      </w:r>
      <w:r w:rsidRPr="002F7DBD">
        <w:rPr>
          <w:rFonts w:ascii="Times New Roman" w:hAnsi="Times New Roman" w:cs="Times New Roman"/>
          <w:sz w:val="24"/>
          <w:szCs w:val="24"/>
        </w:rPr>
        <w:t xml:space="preserve"> влияет на снижение критичности оценки уже в текущем году.</w:t>
      </w:r>
    </w:p>
    <w:p w14:paraId="18D02C15" w14:textId="61AE90A3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7DBD">
        <w:rPr>
          <w:rFonts w:ascii="Times New Roman" w:hAnsi="Times New Roman" w:cs="Times New Roman"/>
          <w:sz w:val="24"/>
          <w:szCs w:val="24"/>
        </w:rPr>
        <w:t xml:space="preserve">Следует также отметить, что спрос на ту или иную упаковку формируется рынком с учетом функциональности упаковочных материалов и на основании применения участниками рынка наилучших доступных технологий. Регулирования рынка за счет искусственного увеличения стоимости тех или иных видов </w:t>
      </w:r>
      <w:r>
        <w:rPr>
          <w:rFonts w:ascii="Times New Roman" w:hAnsi="Times New Roman" w:cs="Times New Roman"/>
          <w:sz w:val="24"/>
          <w:szCs w:val="24"/>
        </w:rPr>
        <w:t>товаров нет в мировой практике</w:t>
      </w:r>
      <w:r w:rsidR="00971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A7F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это нарушает права </w:t>
      </w:r>
      <w:r w:rsidR="00971A7F">
        <w:rPr>
          <w:rFonts w:ascii="Times New Roman" w:hAnsi="Times New Roman" w:cs="Times New Roman"/>
          <w:sz w:val="24"/>
          <w:szCs w:val="24"/>
        </w:rPr>
        <w:t xml:space="preserve">отдельных субъектов рынка и принцип </w:t>
      </w:r>
      <w:r>
        <w:rPr>
          <w:rFonts w:ascii="Times New Roman" w:hAnsi="Times New Roman" w:cs="Times New Roman"/>
          <w:sz w:val="24"/>
          <w:szCs w:val="24"/>
        </w:rPr>
        <w:t>равн</w:t>
      </w:r>
      <w:r w:rsidR="00971A7F">
        <w:rPr>
          <w:rFonts w:ascii="Times New Roman" w:hAnsi="Times New Roman" w:cs="Times New Roman"/>
          <w:sz w:val="24"/>
          <w:szCs w:val="24"/>
        </w:rPr>
        <w:t xml:space="preserve">ых рыночных </w:t>
      </w:r>
      <w:r w:rsidR="001F178E">
        <w:rPr>
          <w:rFonts w:ascii="Times New Roman" w:hAnsi="Times New Roman" w:cs="Times New Roman"/>
          <w:sz w:val="24"/>
          <w:szCs w:val="24"/>
        </w:rPr>
        <w:t>возможностей</w:t>
      </w:r>
      <w:r w:rsidR="00971A7F">
        <w:rPr>
          <w:rFonts w:ascii="Times New Roman" w:hAnsi="Times New Roman" w:cs="Times New Roman"/>
          <w:sz w:val="24"/>
          <w:szCs w:val="24"/>
        </w:rPr>
        <w:t xml:space="preserve"> и здоровой конкуренции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7CEBD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02E979" w14:textId="04BBEC28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85F6338" w14:textId="3E6E3285" w:rsidR="001F178E" w:rsidRDefault="001F178E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94E45F" w14:textId="7F09D1FF" w:rsidR="001F178E" w:rsidRDefault="001F178E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6CA1A66" w14:textId="02639127" w:rsidR="001F178E" w:rsidRDefault="001F178E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ABDBE4" w14:textId="00EFA5E5" w:rsidR="00E24280" w:rsidRPr="001F178E" w:rsidRDefault="00E90343" w:rsidP="001F178E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Решения Сторон Меморандума:</w:t>
      </w:r>
    </w:p>
    <w:p w14:paraId="5F1FA460" w14:textId="6D6507F3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Стороны, подписавшие данный документ, считают необходимым коллективное и публичное обращение в органы </w:t>
      </w:r>
      <w:r w:rsidR="00654BCA">
        <w:rPr>
          <w:rFonts w:ascii="Times New Roman" w:hAnsi="Times New Roman" w:cs="Times New Roman"/>
          <w:sz w:val="24"/>
          <w:szCs w:val="24"/>
        </w:rPr>
        <w:t xml:space="preserve">законодательной и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 с целью </w:t>
      </w:r>
      <w:r w:rsidR="001F178E">
        <w:rPr>
          <w:rFonts w:ascii="Times New Roman" w:hAnsi="Times New Roman" w:cs="Times New Roman"/>
          <w:sz w:val="24"/>
          <w:szCs w:val="24"/>
        </w:rPr>
        <w:t>привлечения</w:t>
      </w:r>
      <w:r w:rsidR="002F7DBD">
        <w:rPr>
          <w:rFonts w:ascii="Times New Roman" w:hAnsi="Times New Roman" w:cs="Times New Roman"/>
          <w:sz w:val="24"/>
          <w:szCs w:val="24"/>
        </w:rPr>
        <w:t xml:space="preserve"> внимания </w:t>
      </w:r>
      <w:r w:rsidR="001F178E">
        <w:rPr>
          <w:rFonts w:ascii="Times New Roman" w:hAnsi="Times New Roman" w:cs="Times New Roman"/>
          <w:sz w:val="24"/>
          <w:szCs w:val="24"/>
        </w:rPr>
        <w:t>к</w:t>
      </w:r>
      <w:r w:rsidR="002F7DBD">
        <w:rPr>
          <w:rFonts w:ascii="Times New Roman" w:hAnsi="Times New Roman" w:cs="Times New Roman"/>
          <w:sz w:val="24"/>
          <w:szCs w:val="24"/>
        </w:rPr>
        <w:t xml:space="preserve"> </w:t>
      </w:r>
      <w:r w:rsidR="00453E2E">
        <w:rPr>
          <w:rFonts w:ascii="Times New Roman" w:hAnsi="Times New Roman" w:cs="Times New Roman"/>
          <w:sz w:val="24"/>
          <w:szCs w:val="24"/>
        </w:rPr>
        <w:t xml:space="preserve">выявленным </w:t>
      </w:r>
      <w:r w:rsidR="002B0876">
        <w:rPr>
          <w:rFonts w:ascii="Times New Roman" w:hAnsi="Times New Roman" w:cs="Times New Roman"/>
          <w:sz w:val="24"/>
          <w:szCs w:val="24"/>
        </w:rPr>
        <w:t xml:space="preserve">недочетам </w:t>
      </w:r>
      <w:r w:rsidR="00874B87">
        <w:rPr>
          <w:rFonts w:ascii="Times New Roman" w:hAnsi="Times New Roman" w:cs="Times New Roman"/>
          <w:sz w:val="24"/>
          <w:szCs w:val="24"/>
        </w:rPr>
        <w:t xml:space="preserve">в </w:t>
      </w:r>
      <w:r w:rsidR="00453E2E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F54AC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A35F07">
        <w:rPr>
          <w:rFonts w:ascii="Times New Roman" w:hAnsi="Times New Roman" w:cs="Times New Roman"/>
          <w:sz w:val="24"/>
          <w:szCs w:val="24"/>
        </w:rPr>
        <w:t>РОП</w:t>
      </w:r>
      <w:r w:rsidR="002B0876">
        <w:rPr>
          <w:rFonts w:ascii="Times New Roman" w:hAnsi="Times New Roman" w:cs="Times New Roman"/>
          <w:sz w:val="24"/>
          <w:szCs w:val="24"/>
        </w:rPr>
        <w:t>,</w:t>
      </w:r>
      <w:r w:rsidR="00F54ACD">
        <w:rPr>
          <w:rFonts w:ascii="Times New Roman" w:hAnsi="Times New Roman" w:cs="Times New Roman"/>
          <w:sz w:val="24"/>
          <w:szCs w:val="24"/>
        </w:rPr>
        <w:t xml:space="preserve"> </w:t>
      </w:r>
      <w:r w:rsidR="002B0876">
        <w:rPr>
          <w:rFonts w:ascii="Times New Roman" w:hAnsi="Times New Roman" w:cs="Times New Roman"/>
          <w:sz w:val="24"/>
          <w:szCs w:val="24"/>
        </w:rPr>
        <w:t xml:space="preserve">оценке </w:t>
      </w:r>
      <w:r w:rsidR="00453E2E">
        <w:rPr>
          <w:rFonts w:ascii="Times New Roman" w:hAnsi="Times New Roman" w:cs="Times New Roman"/>
          <w:sz w:val="24"/>
          <w:szCs w:val="24"/>
        </w:rPr>
        <w:t xml:space="preserve">возникающих в следствие </w:t>
      </w:r>
      <w:r w:rsidR="0052649E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2B0876">
        <w:rPr>
          <w:rFonts w:ascii="Times New Roman" w:hAnsi="Times New Roman" w:cs="Times New Roman"/>
          <w:sz w:val="24"/>
          <w:szCs w:val="24"/>
        </w:rPr>
        <w:t>рисков для обрабатывающей промышленности</w:t>
      </w:r>
      <w:r w:rsidR="002F7D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учета </w:t>
      </w:r>
      <w:r w:rsidR="001F178E">
        <w:rPr>
          <w:rFonts w:ascii="Times New Roman" w:hAnsi="Times New Roman" w:cs="Times New Roman"/>
          <w:sz w:val="24"/>
          <w:szCs w:val="24"/>
        </w:rPr>
        <w:t>представленной</w:t>
      </w:r>
      <w:r>
        <w:rPr>
          <w:rFonts w:ascii="Times New Roman" w:hAnsi="Times New Roman" w:cs="Times New Roman"/>
          <w:sz w:val="24"/>
          <w:szCs w:val="24"/>
        </w:rPr>
        <w:t xml:space="preserve"> позиции и принятия мер по совершен</w:t>
      </w:r>
      <w:r w:rsidR="001F178E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ствованию законодательства о РОП</w:t>
      </w:r>
      <w:r w:rsidR="00A35F07">
        <w:rPr>
          <w:rFonts w:ascii="Times New Roman" w:hAnsi="Times New Roman" w:cs="Times New Roman"/>
          <w:sz w:val="24"/>
          <w:szCs w:val="24"/>
        </w:rPr>
        <w:t xml:space="preserve"> и </w:t>
      </w:r>
      <w:r w:rsidR="00980C35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874B87">
        <w:rPr>
          <w:rFonts w:ascii="Times New Roman" w:hAnsi="Times New Roman" w:cs="Times New Roman"/>
          <w:sz w:val="24"/>
          <w:szCs w:val="24"/>
        </w:rPr>
        <w:t xml:space="preserve"> подходов </w:t>
      </w:r>
      <w:r w:rsidR="00A35F07">
        <w:rPr>
          <w:rFonts w:ascii="Times New Roman" w:hAnsi="Times New Roman" w:cs="Times New Roman"/>
          <w:sz w:val="24"/>
          <w:szCs w:val="24"/>
        </w:rPr>
        <w:t>в сфере обращения с отходами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F1DBF4" w14:textId="77777777" w:rsidR="00E24280" w:rsidRDefault="00E24280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8FFAC0" w14:textId="72927750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внедрения правил РНО и оценки фактических результатов первого цикла отчетности за 2024 год по новым </w:t>
      </w:r>
      <w:r w:rsidR="0052649E">
        <w:rPr>
          <w:rFonts w:ascii="Times New Roman" w:hAnsi="Times New Roman" w:cs="Times New Roman"/>
          <w:sz w:val="24"/>
          <w:szCs w:val="24"/>
        </w:rPr>
        <w:t>требованиям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стороны Меморандума считают необходимым:</w:t>
      </w:r>
    </w:p>
    <w:p w14:paraId="76939327" w14:textId="524F30A8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E278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еренести сроки начала применения повышающих коэффициентов на 2026.</w:t>
      </w:r>
    </w:p>
    <w:p w14:paraId="16814598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Принять поручение Правительства РФ о подготовке изменений в ФЗ «Об отходах производства и потребления» и создании Рабочей группы из представителей Министерства природных ресурсов и экологии РФ, Министерства сельского хозяйства РФ, Министерства экономического развития РФ и Министерства промышленности и торговли РФ, ФАС, Росприроднадзора и представителей указанных отраслей. </w:t>
      </w:r>
    </w:p>
    <w:p w14:paraId="78578699" w14:textId="77777777" w:rsidR="00E24280" w:rsidRDefault="00E90343" w:rsidP="000F01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Включить в план работы группы доработку уже принятых НПА и разработку дополнительных документов с целью учета вышеизложенных замечаний.</w:t>
      </w:r>
    </w:p>
    <w:p w14:paraId="7D1FD8AA" w14:textId="2465E282" w:rsidR="00E27850" w:rsidRDefault="00E27850" w:rsidP="00E2785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F62B3" w14:textId="5622E8ED" w:rsidR="00322CCE" w:rsidRDefault="00322CCE" w:rsidP="00E2785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E9E72" w14:textId="272146CB" w:rsidR="009A37F1" w:rsidRDefault="009A37F1" w:rsidP="00E2785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F4D8F" w14:textId="77777777" w:rsidR="00322CCE" w:rsidRDefault="00322CCE" w:rsidP="00E27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D8537" w14:textId="76AD9AFD" w:rsidR="00E24280" w:rsidRDefault="00E90343" w:rsidP="000F01D8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Настоящий Меморандум подготовили и подписали:</w:t>
      </w:r>
    </w:p>
    <w:p w14:paraId="307C7808" w14:textId="77777777" w:rsidR="00E24280" w:rsidRDefault="00E24280" w:rsidP="000F01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2856"/>
        <w:gridCol w:w="3098"/>
      </w:tblGrid>
      <w:tr w:rsidR="00E24280" w14:paraId="38DD280D" w14:textId="77777777">
        <w:tc>
          <w:tcPr>
            <w:tcW w:w="3390" w:type="dxa"/>
          </w:tcPr>
          <w:p w14:paraId="321597B5" w14:textId="77777777" w:rsidR="00E24280" w:rsidRDefault="00E90343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Союза переработчиков пластмасс</w:t>
            </w:r>
          </w:p>
        </w:tc>
        <w:tc>
          <w:tcPr>
            <w:tcW w:w="2856" w:type="dxa"/>
            <w:vAlign w:val="bottom"/>
          </w:tcPr>
          <w:p w14:paraId="0169DB91" w14:textId="77777777" w:rsidR="00E24280" w:rsidRDefault="00E90343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98" w:type="dxa"/>
            <w:vAlign w:val="bottom"/>
          </w:tcPr>
          <w:p w14:paraId="5518F0DD" w14:textId="77777777" w:rsidR="00E24280" w:rsidRDefault="00E90343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Кацевман</w:t>
            </w:r>
            <w:proofErr w:type="spellEnd"/>
          </w:p>
        </w:tc>
      </w:tr>
      <w:tr w:rsidR="00E24280" w14:paraId="0E02087B" w14:textId="77777777">
        <w:tc>
          <w:tcPr>
            <w:tcW w:w="3390" w:type="dxa"/>
          </w:tcPr>
          <w:p w14:paraId="175650E5" w14:textId="77777777" w:rsidR="00E24280" w:rsidRDefault="00E90343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Общероссийской общественной организации "Союз лесопромышленников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лесоэкспортеров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2856" w:type="dxa"/>
            <w:vAlign w:val="bottom"/>
          </w:tcPr>
          <w:p w14:paraId="656A1052" w14:textId="77777777" w:rsidR="00E24280" w:rsidRDefault="00E90343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98" w:type="dxa"/>
            <w:vAlign w:val="bottom"/>
          </w:tcPr>
          <w:p w14:paraId="3100FD4C" w14:textId="77777777" w:rsidR="00E24280" w:rsidRDefault="00E90343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Тацюн</w:t>
            </w:r>
            <w:proofErr w:type="spellEnd"/>
          </w:p>
        </w:tc>
      </w:tr>
      <w:tr w:rsidR="002D185B" w14:paraId="0D3DE0CA" w14:textId="77777777">
        <w:tc>
          <w:tcPr>
            <w:tcW w:w="3390" w:type="dxa"/>
          </w:tcPr>
          <w:p w14:paraId="0CAF2FE8" w14:textId="25101F59" w:rsidR="002D185B" w:rsidRDefault="002D185B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Ассоциации организаций и предприятий целлюлозно-бумажной промышленности</w:t>
            </w:r>
          </w:p>
        </w:tc>
        <w:tc>
          <w:tcPr>
            <w:tcW w:w="2856" w:type="dxa"/>
            <w:vAlign w:val="bottom"/>
          </w:tcPr>
          <w:p w14:paraId="37CD82D1" w14:textId="735A092B" w:rsidR="002D185B" w:rsidRDefault="002D185B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98" w:type="dxa"/>
            <w:vAlign w:val="bottom"/>
          </w:tcPr>
          <w:p w14:paraId="622053DB" w14:textId="14F6D2CD" w:rsidR="002D185B" w:rsidRDefault="002D185B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Спиридонов</w:t>
            </w:r>
          </w:p>
        </w:tc>
      </w:tr>
      <w:tr w:rsidR="002D185B" w14:paraId="57D5A4D1" w14:textId="77777777">
        <w:tc>
          <w:tcPr>
            <w:tcW w:w="3390" w:type="dxa"/>
          </w:tcPr>
          <w:p w14:paraId="47A868B8" w14:textId="77777777" w:rsidR="002D185B" w:rsidRDefault="002D185B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4BE6" w14:textId="22C62B9E" w:rsidR="002D185B" w:rsidRDefault="002D185B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России</w:t>
            </w:r>
          </w:p>
        </w:tc>
        <w:tc>
          <w:tcPr>
            <w:tcW w:w="2856" w:type="dxa"/>
            <w:vAlign w:val="bottom"/>
          </w:tcPr>
          <w:p w14:paraId="0C9D77F8" w14:textId="579938D8" w:rsidR="002D185B" w:rsidRDefault="002D185B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98" w:type="dxa"/>
            <w:vAlign w:val="bottom"/>
          </w:tcPr>
          <w:p w14:paraId="10102E87" w14:textId="76B1EEEB" w:rsidR="002D185B" w:rsidRDefault="002D185B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Осипов</w:t>
            </w:r>
          </w:p>
        </w:tc>
      </w:tr>
      <w:tr w:rsidR="00A325D0" w14:paraId="4BF5FBC2" w14:textId="77777777">
        <w:tc>
          <w:tcPr>
            <w:tcW w:w="3390" w:type="dxa"/>
          </w:tcPr>
          <w:p w14:paraId="5F03A45D" w14:textId="77777777" w:rsidR="00A325D0" w:rsidRDefault="00A325D0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91DD" w14:textId="29C57800" w:rsidR="00A325D0" w:rsidRDefault="00A325D0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Некоммерческой организации «Российский Союз химиков»</w:t>
            </w:r>
          </w:p>
        </w:tc>
        <w:tc>
          <w:tcPr>
            <w:tcW w:w="2856" w:type="dxa"/>
            <w:vAlign w:val="bottom"/>
          </w:tcPr>
          <w:p w14:paraId="731BC902" w14:textId="35948022" w:rsidR="00A325D0" w:rsidRDefault="00A325D0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19B02" w14:textId="0BFB571A" w:rsidR="00A325D0" w:rsidRDefault="00A325D0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98" w:type="dxa"/>
            <w:vAlign w:val="bottom"/>
          </w:tcPr>
          <w:p w14:paraId="30947FC2" w14:textId="49312132" w:rsidR="00A325D0" w:rsidRDefault="00A325D0" w:rsidP="000F01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Иванов</w:t>
            </w:r>
          </w:p>
        </w:tc>
      </w:tr>
      <w:tr w:rsidR="002653C4" w14:paraId="3E7346C7" w14:textId="77777777">
        <w:tc>
          <w:tcPr>
            <w:tcW w:w="3390" w:type="dxa"/>
          </w:tcPr>
          <w:p w14:paraId="2E2D7D0E" w14:textId="7407B2F9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Текстильщиков России</w:t>
            </w:r>
          </w:p>
        </w:tc>
        <w:tc>
          <w:tcPr>
            <w:tcW w:w="2856" w:type="dxa"/>
            <w:vAlign w:val="bottom"/>
          </w:tcPr>
          <w:p w14:paraId="0CD59628" w14:textId="77777777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34FB7" w14:textId="78EE432F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098" w:type="dxa"/>
            <w:vAlign w:val="bottom"/>
          </w:tcPr>
          <w:p w14:paraId="3FB5D9DA" w14:textId="29D0CB45" w:rsidR="002653C4" w:rsidRP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Ш.А. Ильдаров</w:t>
            </w:r>
          </w:p>
        </w:tc>
      </w:tr>
      <w:tr w:rsidR="002653C4" w14:paraId="0D04D386" w14:textId="77777777">
        <w:tc>
          <w:tcPr>
            <w:tcW w:w="3390" w:type="dxa"/>
          </w:tcPr>
          <w:p w14:paraId="36C829DA" w14:textId="7CD3633C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Align w:val="bottom"/>
          </w:tcPr>
          <w:p w14:paraId="37FA6B02" w14:textId="54930076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Align w:val="bottom"/>
          </w:tcPr>
          <w:p w14:paraId="1CE80B43" w14:textId="26859EE3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C4" w14:paraId="1C297523" w14:textId="77777777">
        <w:tc>
          <w:tcPr>
            <w:tcW w:w="3390" w:type="dxa"/>
          </w:tcPr>
          <w:p w14:paraId="0D33686A" w14:textId="5CF3EA16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Align w:val="bottom"/>
          </w:tcPr>
          <w:p w14:paraId="08396ED9" w14:textId="709D4884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Align w:val="bottom"/>
          </w:tcPr>
          <w:p w14:paraId="1E5E211F" w14:textId="1C4A7CAA" w:rsidR="002653C4" w:rsidRDefault="002653C4" w:rsidP="002653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F6F24" w14:textId="77777777" w:rsidR="00E24280" w:rsidRDefault="00E24280" w:rsidP="000F0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428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900" w14:textId="77777777" w:rsidR="000A34CC" w:rsidRDefault="000A34CC">
      <w:pPr>
        <w:spacing w:line="240" w:lineRule="auto"/>
      </w:pPr>
      <w:r>
        <w:separator/>
      </w:r>
    </w:p>
  </w:endnote>
  <w:endnote w:type="continuationSeparator" w:id="0">
    <w:p w14:paraId="73499F54" w14:textId="77777777" w:rsidR="000A34CC" w:rsidRDefault="000A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83145"/>
      <w:docPartObj>
        <w:docPartGallery w:val="Page Numbers (Bottom of Page)"/>
        <w:docPartUnique/>
      </w:docPartObj>
    </w:sdtPr>
    <w:sdtEndPr/>
    <w:sdtContent>
      <w:p w14:paraId="568E3338" w14:textId="432B159F" w:rsidR="00630C45" w:rsidRDefault="00630C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96">
          <w:rPr>
            <w:noProof/>
          </w:rPr>
          <w:t>1</w:t>
        </w:r>
        <w:r>
          <w:fldChar w:fldCharType="end"/>
        </w:r>
      </w:p>
    </w:sdtContent>
  </w:sdt>
  <w:p w14:paraId="71830293" w14:textId="77777777" w:rsidR="00630C45" w:rsidRDefault="0063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B091" w14:textId="77777777" w:rsidR="000A34CC" w:rsidRDefault="000A34CC">
      <w:pPr>
        <w:spacing w:after="0"/>
      </w:pPr>
      <w:r>
        <w:separator/>
      </w:r>
    </w:p>
  </w:footnote>
  <w:footnote w:type="continuationSeparator" w:id="0">
    <w:p w14:paraId="06A7F219" w14:textId="77777777" w:rsidR="000A34CC" w:rsidRDefault="000A34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96"/>
    <w:rsid w:val="00044B29"/>
    <w:rsid w:val="000A34CC"/>
    <w:rsid w:val="000D6384"/>
    <w:rsid w:val="000F01D8"/>
    <w:rsid w:val="001F178E"/>
    <w:rsid w:val="002653C4"/>
    <w:rsid w:val="002877CE"/>
    <w:rsid w:val="002B0876"/>
    <w:rsid w:val="002D185B"/>
    <w:rsid w:val="002F7DBD"/>
    <w:rsid w:val="00322CCE"/>
    <w:rsid w:val="003E23B8"/>
    <w:rsid w:val="00417955"/>
    <w:rsid w:val="00440747"/>
    <w:rsid w:val="00453E2E"/>
    <w:rsid w:val="00466D91"/>
    <w:rsid w:val="004A1D5D"/>
    <w:rsid w:val="0052649E"/>
    <w:rsid w:val="005D7C42"/>
    <w:rsid w:val="00630C45"/>
    <w:rsid w:val="00633096"/>
    <w:rsid w:val="00654BCA"/>
    <w:rsid w:val="00687BAB"/>
    <w:rsid w:val="007135D4"/>
    <w:rsid w:val="00746400"/>
    <w:rsid w:val="007843FA"/>
    <w:rsid w:val="007B7C55"/>
    <w:rsid w:val="0082378E"/>
    <w:rsid w:val="00842777"/>
    <w:rsid w:val="00874B87"/>
    <w:rsid w:val="008924EA"/>
    <w:rsid w:val="00971A7F"/>
    <w:rsid w:val="00980C35"/>
    <w:rsid w:val="00981ABD"/>
    <w:rsid w:val="009A37F1"/>
    <w:rsid w:val="00A325D0"/>
    <w:rsid w:val="00A35F07"/>
    <w:rsid w:val="00A74906"/>
    <w:rsid w:val="00B73ECB"/>
    <w:rsid w:val="00BC44B2"/>
    <w:rsid w:val="00C553B1"/>
    <w:rsid w:val="00CF4A60"/>
    <w:rsid w:val="00D363FE"/>
    <w:rsid w:val="00D65DCB"/>
    <w:rsid w:val="00E24280"/>
    <w:rsid w:val="00E27850"/>
    <w:rsid w:val="00E90343"/>
    <w:rsid w:val="00F332C1"/>
    <w:rsid w:val="00F54ACD"/>
    <w:rsid w:val="00F72E28"/>
    <w:rsid w:val="00F95296"/>
    <w:rsid w:val="00FA6A5F"/>
    <w:rsid w:val="13772471"/>
    <w:rsid w:val="3B3D4318"/>
    <w:rsid w:val="52C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2896"/>
  <w15:docId w15:val="{58D6A1C3-13E6-4583-8998-D1A2AEC7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C4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3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C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bazunoff</dc:creator>
  <cp:lastModifiedBy>igor Volkov</cp:lastModifiedBy>
  <cp:revision>3</cp:revision>
  <cp:lastPrinted>2024-10-31T16:41:00Z</cp:lastPrinted>
  <dcterms:created xsi:type="dcterms:W3CDTF">2024-11-28T10:22:00Z</dcterms:created>
  <dcterms:modified xsi:type="dcterms:W3CDTF">2025-01-22T11:16:00Z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8AAC6D21C8614DD0A02EF10C85014B68_13</vt:lpwstr>
  </property>
</Properties>
</file>